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 2026</w:t>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People Incorporated</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080"/>
          </w:cols>
          <w:pgMar w:left="320" w:top="1440" w:right="49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001-39356</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84-3727412</w:t>
      </w:r>
    </w:p>
    <w:p>
      <w:pPr>
        <w:spacing w:after="0" w:line="27" w:lineRule="exact"/>
        <w:rPr>
          <w:sz w:val="24"/>
          <w:szCs w:val="24"/>
          <w:color w:val="auto"/>
        </w:rPr>
      </w:pPr>
    </w:p>
    <w:p>
      <w:pPr>
        <w:sectPr>
          <w:pgSz w:w="11900" w:h="16838" w:orient="portrait"/>
          <w:cols w:equalWidth="0" w:num="3">
            <w:col w:w="4460" w:space="720"/>
            <w:col w:w="2980" w:space="720"/>
            <w:col w:w="2200"/>
          </w:cols>
          <w:pgMar w:left="320" w:top="1440" w:right="499" w:bottom="1440" w:gutter="0" w:footer="0" w:header="0"/>
          <w:type w:val="continuous"/>
        </w:sectPr>
      </w:pPr>
    </w:p>
    <w:p>
      <w:pPr>
        <w:jc w:val="center"/>
        <w:ind w:right="58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5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1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72" w:lineRule="exact"/>
        <w:rPr>
          <w:sz w:val="24"/>
          <w:szCs w:val="24"/>
          <w:color w:val="auto"/>
        </w:rPr>
      </w:pPr>
    </w:p>
    <w:p>
      <w:pPr>
        <w:sectPr>
          <w:pgSz w:w="11900" w:h="16838" w:orient="portrait"/>
          <w:cols w:equalWidth="0" w:num="3">
            <w:col w:w="4360" w:space="720"/>
            <w:col w:w="2840" w:space="720"/>
            <w:col w:w="2440"/>
          </w:cols>
          <w:pgMar w:left="320" w:top="1440" w:right="49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8"/>
          <w:szCs w:val="18"/>
          <w:b w:val="1"/>
          <w:bCs w:val="1"/>
          <w:color w:val="auto"/>
        </w:rPr>
        <w:t>555 West 18th Street,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78" w:lineRule="exact"/>
        <w:rPr>
          <w:sz w:val="24"/>
          <w:szCs w:val="24"/>
          <w:color w:val="auto"/>
        </w:rPr>
      </w:pPr>
    </w:p>
    <w:p>
      <w:pPr>
        <w:sectPr>
          <w:pgSz w:w="11900" w:h="16838" w:orient="portrait"/>
          <w:cols w:equalWidth="0" w:num="3">
            <w:col w:w="5040" w:space="160"/>
            <w:col w:w="1220" w:space="720"/>
            <w:col w:w="3940"/>
          </w:cols>
          <w:pgMar w:left="320" w:top="1440" w:right="49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6240" w:space="720"/>
            <w:col w:w="4120"/>
          </w:cols>
          <w:pgMar w:left="320" w:top="1440" w:right="499" w:bottom="1440" w:gutter="0" w:footer="0" w:header="0"/>
          <w:type w:val="continuous"/>
        </w:sectPr>
      </w:pPr>
    </w:p>
    <w:p>
      <w:pPr>
        <w:spacing w:after="0" w:line="1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314-7300</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660" w:hanging="32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16" w:lineRule="exact"/>
        <w:rPr>
          <w:sz w:val="24"/>
          <w:szCs w:val="24"/>
          <w:color w:val="auto"/>
        </w:rPr>
      </w:pPr>
    </w:p>
    <w:tbl>
      <w:tblPr>
        <w:tblLayout w:type="fixed"/>
        <w:tblInd w:w="34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6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220" w:type="dxa"/>
            <w:vAlign w:val="bottom"/>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w:t>
            </w:r>
          </w:p>
        </w:tc>
      </w:tr>
      <w:tr>
        <w:trPr>
          <w:trHeight w:val="204"/>
        </w:trPr>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40" w:type="dxa"/>
            <w:vAlign w:val="bottom"/>
          </w:tcPr>
          <w:p>
            <w:pPr>
              <w:spacing w:after="0"/>
              <w:rPr>
                <w:sz w:val="17"/>
                <w:szCs w:val="17"/>
                <w:color w:val="auto"/>
              </w:rPr>
            </w:pPr>
          </w:p>
        </w:tc>
        <w:tc>
          <w:tcPr>
            <w:tcW w:w="4060" w:type="dxa"/>
            <w:vAlign w:val="bottom"/>
            <w:gridSpan w:val="2"/>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23"/>
        </w:trPr>
        <w:tc>
          <w:tcPr>
            <w:tcW w:w="22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86"/>
        </w:trPr>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2040" w:type="dxa"/>
            <w:vAlign w:val="bottom"/>
          </w:tcPr>
          <w:p>
            <w:pPr>
              <w:spacing w:after="0"/>
              <w:rPr>
                <w:sz w:val="16"/>
                <w:szCs w:val="16"/>
                <w:color w:val="auto"/>
              </w:rPr>
            </w:pPr>
          </w:p>
        </w:tc>
        <w:tc>
          <w:tcPr>
            <w:tcW w:w="4060" w:type="dxa"/>
            <w:vAlign w:val="bottom"/>
            <w:gridSpan w:val="2"/>
          </w:tcPr>
          <w:p>
            <w:pPr>
              <w:jc w:val="center"/>
              <w:ind w:right="2040"/>
              <w:spacing w:after="0"/>
              <w:rPr>
                <w:sz w:val="20"/>
                <w:szCs w:val="20"/>
                <w:color w:val="auto"/>
              </w:rPr>
            </w:pPr>
            <w:r>
              <w:rPr>
                <w:rFonts w:ascii="Times New Roman" w:cs="Times New Roman" w:eastAsia="Times New Roman" w:hAnsi="Times New Roman"/>
                <w:sz w:val="14"/>
                <w:szCs w:val="14"/>
                <w:color w:val="auto"/>
              </w:rPr>
              <w:t>PPLI</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16"/>
        </w:trPr>
        <w:tc>
          <w:tcPr>
            <w:tcW w:w="2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4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27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909955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279400</wp:posOffset>
            </wp:positionV>
            <wp:extent cx="67208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1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On November 2, 2026, People Incorporated (the “Company”) announced that it had released its results for the quarter ended September 30, 2026. The full text of the related press release, which is posted on the “Investor Relations” section of the Company’s website at </w:t>
      </w:r>
      <w:r>
        <w:rPr>
          <w:rFonts w:ascii="Times New Roman" w:cs="Times New Roman" w:eastAsia="Times New Roman" w:hAnsi="Times New Roman"/>
          <w:sz w:val="18"/>
          <w:szCs w:val="18"/>
          <w:i w:val="1"/>
          <w:iCs w:val="1"/>
          <w:color w:val="auto"/>
        </w:rPr>
        <w:t xml:space="preserve">https://ir.people-incorporated.com/financials/quarterly-results </w:t>
      </w:r>
      <w:r>
        <w:rPr>
          <w:rFonts w:ascii="Times New Roman" w:cs="Times New Roman" w:eastAsia="Times New Roman" w:hAnsi="Times New Roman"/>
          <w:sz w:val="18"/>
          <w:szCs w:val="18"/>
          <w:color w:val="auto"/>
        </w:rPr>
        <w:t>and appears in Exhibit 99.1 hereto, is incorporated herein by reference.</w:t>
      </w:r>
    </w:p>
    <w:p>
      <w:pPr>
        <w:spacing w:after="0" w:line="17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its earnings call, the Company is also posting an investor presentation to the “Investor Relations” section of its website at </w:t>
      </w:r>
      <w:r>
        <w:rPr>
          <w:rFonts w:ascii="Times New Roman" w:cs="Times New Roman" w:eastAsia="Times New Roman" w:hAnsi="Times New Roman"/>
          <w:sz w:val="18"/>
          <w:szCs w:val="18"/>
          <w:i w:val="1"/>
          <w:iCs w:val="1"/>
          <w:color w:val="auto"/>
        </w:rPr>
        <w:t>https://ir.people-incorporated.com/financials/quarterly-results.</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information contained in this Item 2.02, including Exhibit 99.1 furnished herewith, shall not be deemed “filed” for purposes of Section 18 of the Securities Exchange Act of 1934, as amended (the “Exchange Act”), or otherwise subject to the liabilities of such section and shall not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4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16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94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99.1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Press Release of People Incorporated, dated November 2, 2026.</w:t>
      </w:r>
    </w:p>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People Incorporated</w:t>
      </w:r>
    </w:p>
    <w:p>
      <w:pPr>
        <w:spacing w:after="0" w:line="293"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QUINN</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Timothy Quinn</w:t>
            </w:r>
          </w:p>
        </w:tc>
      </w:tr>
      <w:tr>
        <w:trPr>
          <w:trHeight w:val="2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887" w:right="359" w:bottom="1440" w:gutter="0" w:footer="0" w:header="0"/>
        </w:sectPr>
      </w:pPr>
    </w:p>
    <w:bookmarkStart w:id="4" w:name="page5"/>
    <w:bookmarkEnd w:id="4"/>
    <w:p>
      <w:pPr>
        <w:ind w:left="9600"/>
        <w:spacing w:after="0"/>
        <w:rPr>
          <w:sz w:val="20"/>
          <w:szCs w:val="20"/>
          <w:color w:val="auto"/>
        </w:rPr>
      </w:pPr>
      <w:r>
        <w:rPr>
          <w:rFonts w:ascii="Times New Roman" w:cs="Times New Roman" w:eastAsia="Times New Roman" w:hAnsi="Times New Roman"/>
          <w:sz w:val="18"/>
          <w:szCs w:val="18"/>
          <w:color w:val="auto"/>
        </w:rPr>
        <w:t>Page 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506095</wp:posOffset>
            </wp:positionV>
            <wp:extent cx="106299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PEOPLE INCORPORATED REPORTS Q3 2026</w:t>
      </w:r>
    </w:p>
    <w:p>
      <w:pPr>
        <w:spacing w:after="0" w:line="385" w:lineRule="exact"/>
        <w:rPr>
          <w:sz w:val="20"/>
          <w:szCs w:val="20"/>
          <w:color w:val="auto"/>
        </w:rPr>
      </w:pPr>
    </w:p>
    <w:p>
      <w:pPr>
        <w:ind w:left="420" w:right="180" w:hanging="412"/>
        <w:spacing w:after="0" w:line="250" w:lineRule="auto"/>
        <w:tabs>
          <w:tab w:leader="none" w:pos="419" w:val="left"/>
        </w:tabs>
        <w:numPr>
          <w:ilvl w:val="0"/>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People Inc. drove its 12th consecutive quarter of Digital revenue growth with total operating income of $37 million and Adjusted EBITDA of $70 million</w:t>
      </w:r>
    </w:p>
    <w:p>
      <w:pPr>
        <w:ind w:left="420" w:right="40" w:hanging="412"/>
        <w:spacing w:after="0" w:line="237" w:lineRule="auto"/>
        <w:tabs>
          <w:tab w:leader="none" w:pos="419" w:val="left"/>
        </w:tabs>
        <w:numPr>
          <w:ilvl w:val="0"/>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On October 29, 2026, People Inc. executed staffing reductions to better align the business with strategic growth priorities and expects to incur an estimated $15-$20 million in severance and employee separation benefits expense in Q4 2026</w:t>
      </w:r>
    </w:p>
    <w:p>
      <w:pPr>
        <w:ind w:left="420" w:right="400" w:hanging="412"/>
        <w:spacing w:after="0" w:line="244" w:lineRule="auto"/>
        <w:tabs>
          <w:tab w:leader="none" w:pos="419" w:val="left"/>
        </w:tabs>
        <w:numPr>
          <w:ilvl w:val="0"/>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People Incorporated (the “Company”) year-to-date net cash from continuing operations increased $105 million to $106 million and Free Cash Flow increased $93 million to $80 million; $1.3 billion cash and cash equivalents as of September 30, 2026</w:t>
      </w:r>
    </w:p>
    <w:p>
      <w:pPr>
        <w:spacing w:after="0" w:line="1" w:lineRule="exact"/>
        <w:rPr>
          <w:rFonts w:ascii="Times New Roman" w:cs="Times New Roman" w:eastAsia="Times New Roman" w:hAnsi="Times New Roman"/>
          <w:sz w:val="19"/>
          <w:szCs w:val="19"/>
          <w:i w:val="1"/>
          <w:iCs w:val="1"/>
          <w:color w:val="auto"/>
        </w:rPr>
      </w:pPr>
    </w:p>
    <w:p>
      <w:pPr>
        <w:ind w:left="420" w:hanging="412"/>
        <w:spacing w:after="0" w:line="237" w:lineRule="auto"/>
        <w:tabs>
          <w:tab w:leader="none" w:pos="420" w:val="left"/>
        </w:tabs>
        <w:numPr>
          <w:ilvl w:val="0"/>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The Company has 12.5 million shares remaining under its share repurchase authorizations</w:t>
      </w:r>
    </w:p>
    <w:p>
      <w:pPr>
        <w:ind w:left="420" w:hanging="412"/>
        <w:spacing w:after="0" w:line="237" w:lineRule="auto"/>
        <w:tabs>
          <w:tab w:leader="none" w:pos="420" w:val="left"/>
        </w:tabs>
        <w:numPr>
          <w:ilvl w:val="0"/>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Emerging &amp; Other revenue increased 21% driven by 39% growth at The Daily Beast and 18% at Vivian Health</w:t>
      </w:r>
    </w:p>
    <w:p>
      <w:pPr>
        <w:jc w:val="both"/>
        <w:ind w:left="420" w:right="80" w:hanging="412"/>
        <w:spacing w:after="0"/>
        <w:tabs>
          <w:tab w:leader="none" w:pos="419" w:val="left"/>
        </w:tabs>
        <w:numPr>
          <w:ilvl w:val="0"/>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The Company completed the sale of its Limited Partner stake in a third-party fund generating $185 million of net proceeds in the quarter and continues to make progress toward reducing annual Corporate operating expense to approximately $45 million on a run-rate basis by the end of Q1 2027</w:t>
      </w:r>
    </w:p>
    <w:p>
      <w:pPr>
        <w:spacing w:after="0" w:line="200" w:lineRule="exact"/>
        <w:rPr>
          <w:sz w:val="20"/>
          <w:szCs w:val="20"/>
          <w:color w:val="auto"/>
        </w:rPr>
      </w:pPr>
    </w:p>
    <w:p>
      <w:pPr>
        <w:spacing w:after="0" w:line="25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 xml:space="preserve">NEW YORK— November 2, 2026—People Incorporated (NASDAQ: PPLI) released its third quarter results today and separately posted a Q3 2026 earnings presentation. These materials can be found in the Financials section of its website at </w:t>
      </w:r>
      <w:r>
        <w:rPr>
          <w:rFonts w:ascii="Times New Roman" w:cs="Times New Roman" w:eastAsia="Times New Roman" w:hAnsi="Times New Roman"/>
          <w:sz w:val="19"/>
          <w:szCs w:val="19"/>
          <w:color w:val="0000FF"/>
        </w:rPr>
        <w:t>ir.people-incorporated.com</w:t>
      </w:r>
      <w:r>
        <w:rPr>
          <w:rFonts w:ascii="Times New Roman" w:cs="Times New Roman" w:eastAsia="Times New Roman" w:hAnsi="Times New Roman"/>
          <w:sz w:val="19"/>
          <w:szCs w:val="19"/>
          <w:color w:val="0E32E1"/>
        </w:rPr>
        <w:t>.</w:t>
      </w:r>
    </w:p>
    <w:p>
      <w:pPr>
        <w:spacing w:after="0" w:line="200" w:lineRule="exact"/>
        <w:rPr>
          <w:sz w:val="20"/>
          <w:szCs w:val="20"/>
          <w:color w:val="auto"/>
        </w:rPr>
      </w:pPr>
    </w:p>
    <w:p>
      <w:pPr>
        <w:spacing w:after="0" w:line="276" w:lineRule="exact"/>
        <w:rPr>
          <w:sz w:val="20"/>
          <w:szCs w:val="20"/>
          <w:color w:val="auto"/>
        </w:rPr>
      </w:pPr>
    </w:p>
    <w:p>
      <w:pPr>
        <w:jc w:val="both"/>
        <w:ind w:left="420" w:hanging="80"/>
        <w:spacing w:after="0" w:line="244" w:lineRule="auto"/>
        <w:rPr>
          <w:sz w:val="20"/>
          <w:szCs w:val="20"/>
          <w:color w:val="auto"/>
        </w:rPr>
      </w:pPr>
      <w:r>
        <w:rPr>
          <w:rFonts w:ascii="Times New Roman" w:cs="Times New Roman" w:eastAsia="Times New Roman" w:hAnsi="Times New Roman"/>
          <w:sz w:val="19"/>
          <w:szCs w:val="19"/>
          <w:color w:val="212121"/>
        </w:rPr>
        <w:t>“We’re continuing the course we laid out last year: simplify the company around People Inc. and our MGM Resorts investment. With ample capital, we’re well positioned to invest in our own stock and pursue opportunities for value creation,” said Barry Diller, Chairman and Senior Executive of People Incorporated.</w:t>
      </w:r>
    </w:p>
    <w:p>
      <w:pPr>
        <w:spacing w:after="0" w:line="211" w:lineRule="exact"/>
        <w:rPr>
          <w:sz w:val="20"/>
          <w:szCs w:val="20"/>
          <w:color w:val="auto"/>
        </w:rPr>
      </w:pPr>
    </w:p>
    <w:p>
      <w:pPr>
        <w:jc w:val="both"/>
        <w:ind w:left="420" w:right="20" w:hanging="80"/>
        <w:spacing w:after="0" w:line="250" w:lineRule="auto"/>
        <w:rPr>
          <w:sz w:val="20"/>
          <w:szCs w:val="20"/>
          <w:color w:val="auto"/>
        </w:rPr>
      </w:pPr>
      <w:r>
        <w:rPr>
          <w:rFonts w:ascii="Times New Roman" w:cs="Times New Roman" w:eastAsia="Times New Roman" w:hAnsi="Times New Roman"/>
          <w:sz w:val="19"/>
          <w:szCs w:val="19"/>
          <w:color w:val="212121"/>
        </w:rPr>
        <w:t>Continued Mr. Diller, “People Inc. continues to be a durable generator of cash flow, focused on turning the power of its brands into vibrant new businesses. Our conviction in MGM is undiminished.”</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PEOPLE INCORPORATED SUMMARY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-135890</wp:posOffset>
            </wp:positionV>
            <wp:extent cx="5288915" cy="1757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8915" cy="1757045"/>
                    </a:xfrm>
                    <a:prstGeom prst="rect">
                      <a:avLst/>
                    </a:prstGeom>
                    <a:noFill/>
                  </pic:spPr>
                </pic:pic>
              </a:graphicData>
            </a:graphic>
          </wp:anchor>
        </w:drawing>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 in millions except per share amounts)</w:t>
      </w:r>
    </w:p>
    <w:p>
      <w:pPr>
        <w:spacing w:after="0" w:line="79" w:lineRule="exact"/>
        <w:rPr>
          <w:sz w:val="20"/>
          <w:szCs w:val="20"/>
          <w:color w:val="auto"/>
        </w:rPr>
      </w:pPr>
    </w:p>
    <w:tbl>
      <w:tblPr>
        <w:tblLayout w:type="fixed"/>
        <w:tblInd w:w="1460" w:type="dxa"/>
        <w:tblCellMar>
          <w:top w:w="0" w:type="dxa"/>
          <w:left w:w="0" w:type="dxa"/>
          <w:bottom w:w="0" w:type="dxa"/>
          <w:right w:w="0" w:type="dxa"/>
        </w:tblCellMar>
      </w:tblPr>
      <w:tr>
        <w:trPr>
          <w:trHeight w:val="254"/>
        </w:trPr>
        <w:tc>
          <w:tcPr>
            <w:tcW w:w="4820" w:type="dxa"/>
            <w:vAlign w:val="bottom"/>
          </w:tcPr>
          <w:p>
            <w:pPr>
              <w:spacing w:after="0"/>
              <w:rPr>
                <w:sz w:val="22"/>
                <w:szCs w:val="22"/>
                <w:color w:val="auto"/>
              </w:rPr>
            </w:pPr>
          </w:p>
        </w:tc>
        <w:tc>
          <w:tcPr>
            <w:tcW w:w="9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9"/>
                <w:szCs w:val="19"/>
                <w:b w:val="1"/>
                <w:bCs w:val="1"/>
                <w:color w:val="auto"/>
              </w:rPr>
              <w:t>Q3 2026</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Q3 2025</w:t>
            </w:r>
          </w:p>
        </w:tc>
        <w:tc>
          <w:tcPr>
            <w:tcW w:w="11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9"/>
                <w:szCs w:val="19"/>
                <w:b w:val="1"/>
                <w:bCs w:val="1"/>
                <w:color w:val="auto"/>
              </w:rPr>
              <w:t>Growth</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Revenue</w:t>
            </w: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9"/>
                <w:szCs w:val="19"/>
                <w:color w:val="auto"/>
              </w:rPr>
              <w:t>$   430.8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rPr>
              <w:t>447.1</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9"/>
                <w:szCs w:val="19"/>
                <w:color w:val="auto"/>
              </w:rPr>
              <w:t>-4 %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Operating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2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(27.2)</w:t>
            </w:r>
          </w:p>
        </w:tc>
        <w:tc>
          <w:tcPr>
            <w:tcW w:w="160" w:type="dxa"/>
            <w:vAlign w:val="bottom"/>
          </w:tcPr>
          <w:p>
            <w:pPr>
              <w:spacing w:after="0"/>
              <w:rPr>
                <w:sz w:val="21"/>
                <w:szCs w:val="21"/>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rPr>
              <w:t>89 %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9"/>
                <w:szCs w:val="19"/>
                <w:color w:val="auto"/>
              </w:rPr>
              <w:t>Unrealized (loss) gain on investment in MGM Resorts</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(1,119.9)</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rPr>
              <w:t>17.5</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9"/>
                <w:szCs w:val="19"/>
                <w:color w:val="auto"/>
              </w:rPr>
              <w:t>NM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8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International</w:t>
            </w:r>
          </w:p>
        </w:tc>
        <w:tc>
          <w:tcPr>
            <w:tcW w:w="9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820" w:type="dxa"/>
            <w:vAlign w:val="bottom"/>
            <w:vMerge w:val="continue"/>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(21.9)</w:t>
            </w:r>
          </w:p>
        </w:tc>
        <w:tc>
          <w:tcPr>
            <w:tcW w:w="160" w:type="dxa"/>
            <w:vAlign w:val="bottom"/>
          </w:tcPr>
          <w:p>
            <w:pPr>
              <w:spacing w:after="0"/>
              <w:rPr>
                <w:sz w:val="21"/>
                <w:szCs w:val="21"/>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Diluted loss per share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(9.15)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9"/>
                <w:szCs w:val="19"/>
                <w:color w:val="auto"/>
              </w:rPr>
              <w:t>(0.27)</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9"/>
                <w:szCs w:val="19"/>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Adjusted EBITDA</w:t>
            </w: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54.8</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55.1</w:t>
            </w:r>
          </w:p>
        </w:tc>
        <w:tc>
          <w:tcPr>
            <w:tcW w:w="160" w:type="dxa"/>
            <w:vAlign w:val="bottom"/>
          </w:tcPr>
          <w:p>
            <w:pPr>
              <w:spacing w:after="0"/>
              <w:rPr>
                <w:sz w:val="19"/>
                <w:szCs w:val="19"/>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40" w:type="dxa"/>
            <w:vAlign w:val="bottom"/>
            <w:gridSpan w:val="6"/>
          </w:tcPr>
          <w:p>
            <w:pPr>
              <w:ind w:left="1300"/>
              <w:spacing w:after="0" w:line="206" w:lineRule="exact"/>
              <w:rPr>
                <w:sz w:val="20"/>
                <w:szCs w:val="20"/>
                <w:color w:val="auto"/>
              </w:rPr>
            </w:pPr>
            <w:r>
              <w:rPr>
                <w:rFonts w:ascii="Times New Roman" w:cs="Times New Roman" w:eastAsia="Times New Roman" w:hAnsi="Times New Roman"/>
                <w:sz w:val="19"/>
                <w:szCs w:val="19"/>
                <w:i w:val="1"/>
                <w:iCs w:val="1"/>
                <w:color w:val="auto"/>
              </w:rPr>
              <w:t xml:space="preserve">See reconciliations of GAAP to non-GAAP measures beginning on page </w:t>
            </w:r>
            <w:r>
              <w:rPr>
                <w:rFonts w:ascii="Times New Roman" w:cs="Times New Roman" w:eastAsia="Times New Roman" w:hAnsi="Times New Roman"/>
                <w:sz w:val="19"/>
                <w:szCs w:val="19"/>
                <w:i w:val="1"/>
                <w:iCs w:val="1"/>
                <w:color w:val="0000FF"/>
              </w:rPr>
              <w:t>16</w:t>
            </w:r>
            <w:r>
              <w:rPr>
                <w:rFonts w:ascii="Times New Roman" w:cs="Times New Roman" w:eastAsia="Times New Roman" w:hAnsi="Times New Roman"/>
                <w:sz w:val="19"/>
                <w:szCs w:val="19"/>
                <w:i w:val="1"/>
                <w:iCs w:val="1"/>
                <w:color w:val="auto"/>
              </w:rPr>
              <w:t>.</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Q3 2026 SUMMARY</w:t>
      </w:r>
    </w:p>
    <w:p>
      <w:pPr>
        <w:spacing w:after="0" w:line="30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People Inc.</w:t>
      </w:r>
    </w:p>
    <w:p>
      <w:pPr>
        <w:spacing w:after="0" w:line="29" w:lineRule="exact"/>
        <w:rPr>
          <w:rFonts w:ascii="Times New Roman" w:cs="Times New Roman" w:eastAsia="Times New Roman" w:hAnsi="Times New Roman"/>
          <w:sz w:val="19"/>
          <w:szCs w:val="19"/>
          <w:b w:val="1"/>
          <w:bCs w:val="1"/>
          <w:color w:val="auto"/>
        </w:rPr>
      </w:pPr>
    </w:p>
    <w:p>
      <w:pPr>
        <w:ind w:left="1300" w:right="440" w:hanging="320"/>
        <w:spacing w:after="0" w:line="250" w:lineRule="auto"/>
        <w:tabs>
          <w:tab w:leader="none" w:pos="1299"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Q3 2026 Digital revenue increased 2% to $289 million driven by 15% Non-session-based revenue growth (including 49% Licensing and other growth), partially offset by 6% Session-based revenue declines reflecting an accelerated impact from AI-oriented search and content discovery experiences during the quarter.</w:t>
      </w:r>
    </w:p>
    <w:p>
      <w:pPr>
        <w:sectPr>
          <w:pgSz w:w="11900" w:h="16838" w:orient="portrait"/>
          <w:cols w:equalWidth="0" w:num="1">
            <w:col w:w="11240"/>
          </w:cols>
          <w:pgMar w:left="320" w:top="121" w:right="339" w:bottom="1440" w:gutter="0" w:footer="0" w:header="0"/>
        </w:sectPr>
      </w:pPr>
    </w:p>
    <w:bookmarkStart w:id="5" w:name="page6"/>
    <w:bookmarkEnd w:id="5"/>
    <w:p>
      <w:pPr>
        <w:ind w:left="9268"/>
        <w:spacing w:after="0"/>
        <w:rPr>
          <w:sz w:val="20"/>
          <w:szCs w:val="20"/>
          <w:color w:val="auto"/>
        </w:rPr>
      </w:pPr>
      <w:r>
        <w:rPr>
          <w:rFonts w:ascii="Times New Roman" w:cs="Times New Roman" w:eastAsia="Times New Roman" w:hAnsi="Times New Roman"/>
          <w:sz w:val="18"/>
          <w:szCs w:val="18"/>
          <w:color w:val="auto"/>
        </w:rPr>
        <w:t>Page 2 of 22</w:t>
      </w:r>
    </w:p>
    <w:p>
      <w:pPr>
        <w:spacing w:after="0" w:line="200" w:lineRule="exact"/>
        <w:rPr>
          <w:sz w:val="20"/>
          <w:szCs w:val="20"/>
          <w:color w:val="auto"/>
        </w:rPr>
      </w:pPr>
    </w:p>
    <w:p>
      <w:pPr>
        <w:spacing w:after="0" w:line="354" w:lineRule="exact"/>
        <w:rPr>
          <w:sz w:val="20"/>
          <w:szCs w:val="20"/>
          <w:color w:val="auto"/>
        </w:rPr>
      </w:pPr>
    </w:p>
    <w:p>
      <w:pPr>
        <w:ind w:left="968" w:right="20" w:hanging="320"/>
        <w:spacing w:after="0"/>
        <w:tabs>
          <w:tab w:leader="none" w:pos="99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Q3 2026 Digital operating income increased 27% to $49 million and Adjusted EBITDA decreased 2% to $72 million with Adjusted EBITDA margins of 25%.</w:t>
      </w:r>
    </w:p>
    <w:p>
      <w:pPr>
        <w:spacing w:after="0" w:line="1" w:lineRule="exact"/>
        <w:rPr>
          <w:rFonts w:ascii="Times New Roman" w:cs="Times New Roman" w:eastAsia="Times New Roman" w:hAnsi="Times New Roman"/>
          <w:sz w:val="19"/>
          <w:szCs w:val="19"/>
          <w:color w:val="auto"/>
        </w:rPr>
      </w:pPr>
    </w:p>
    <w:p>
      <w:pPr>
        <w:ind w:left="968" w:hanging="320"/>
        <w:spacing w:after="0" w:line="237" w:lineRule="auto"/>
        <w:tabs>
          <w:tab w:leader="none" w:pos="968"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Q3 2026 Total People Inc. operating income was $37 million and Adjusted EBITDA was $70 million.</w:t>
      </w:r>
    </w:p>
    <w:p>
      <w:pPr>
        <w:ind w:left="968" w:hanging="320"/>
        <w:spacing w:after="0" w:line="243" w:lineRule="auto"/>
        <w:tabs>
          <w:tab w:leader="none" w:pos="981"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nine months ended September 30, 2026, People Inc. net cash from operations increased $95 million to $152 million and Free Cash Flow increased $83 million to $127 million.</w:t>
      </w:r>
    </w:p>
    <w:p>
      <w:pPr>
        <w:spacing w:after="0" w:line="200" w:lineRule="exact"/>
        <w:rPr>
          <w:rFonts w:ascii="Times New Roman" w:cs="Times New Roman" w:eastAsia="Times New Roman" w:hAnsi="Times New Roman"/>
          <w:sz w:val="19"/>
          <w:szCs w:val="19"/>
          <w:color w:val="auto"/>
        </w:rPr>
      </w:pPr>
    </w:p>
    <w:p>
      <w:pPr>
        <w:spacing w:after="0" w:line="238" w:lineRule="exact"/>
        <w:rPr>
          <w:rFonts w:ascii="Times New Roman" w:cs="Times New Roman" w:eastAsia="Times New Roman" w:hAnsi="Times New Roman"/>
          <w:sz w:val="19"/>
          <w:szCs w:val="19"/>
          <w:color w:val="auto"/>
        </w:rPr>
      </w:pPr>
    </w:p>
    <w:p>
      <w:pPr>
        <w:ind w:left="328" w:hanging="328"/>
        <w:spacing w:after="0"/>
        <w:tabs>
          <w:tab w:leader="none" w:pos="328" w:val="left"/>
        </w:tabs>
        <w:numPr>
          <w:ilvl w:val="0"/>
          <w:numId w:val="4"/>
        </w:numPr>
        <w:rPr>
          <w:rFonts w:ascii="Arial" w:cs="Arial" w:eastAsia="Arial" w:hAnsi="Arial"/>
          <w:sz w:val="19"/>
          <w:szCs w:val="19"/>
          <w:b w:val="1"/>
          <w:bCs w:val="1"/>
          <w:color w:val="auto"/>
        </w:rPr>
      </w:pPr>
      <w:r>
        <w:rPr>
          <w:rFonts w:ascii="Times New Roman" w:cs="Times New Roman" w:eastAsia="Times New Roman" w:hAnsi="Times New Roman"/>
          <w:sz w:val="19"/>
          <w:szCs w:val="19"/>
          <w:b w:val="1"/>
          <w:bCs w:val="1"/>
          <w:color w:val="auto"/>
        </w:rPr>
        <w:t>Capital Allocation</w:t>
      </w:r>
    </w:p>
    <w:p>
      <w:pPr>
        <w:spacing w:after="0" w:line="20" w:lineRule="exact"/>
        <w:rPr>
          <w:rFonts w:ascii="Arial" w:cs="Arial" w:eastAsia="Arial" w:hAnsi="Arial"/>
          <w:sz w:val="19"/>
          <w:szCs w:val="19"/>
          <w:b w:val="1"/>
          <w:bCs w:val="1"/>
          <w:color w:val="auto"/>
        </w:rPr>
      </w:pPr>
    </w:p>
    <w:p>
      <w:pPr>
        <w:ind w:left="968" w:hanging="320"/>
        <w:spacing w:after="0" w:line="229" w:lineRule="auto"/>
        <w:tabs>
          <w:tab w:leader="none" w:pos="981"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nine months ended September 30, 2026, the Company’s net cash from operations attributable to continuing operations increased $105 million to $106 million and Free Cash Flow increased $93 million to $80 million.</w:t>
      </w:r>
    </w:p>
    <w:p>
      <w:pPr>
        <w:spacing w:after="0" w:line="1" w:lineRule="exact"/>
        <w:rPr>
          <w:rFonts w:ascii="Times New Roman" w:cs="Times New Roman" w:eastAsia="Times New Roman" w:hAnsi="Times New Roman"/>
          <w:sz w:val="19"/>
          <w:szCs w:val="19"/>
          <w:color w:val="auto"/>
        </w:rPr>
      </w:pPr>
    </w:p>
    <w:p>
      <w:pPr>
        <w:ind w:left="968" w:hanging="320"/>
        <w:spacing w:after="0" w:line="237" w:lineRule="auto"/>
        <w:tabs>
          <w:tab w:leader="none" w:pos="967"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September 30, 2026, the Company had $1.3 billion in cash and cash equivalents, of which $372 million was held at People Inc.</w:t>
      </w:r>
    </w:p>
    <w:p>
      <w:pPr>
        <w:ind w:left="968" w:hanging="320"/>
        <w:spacing w:after="0" w:line="222" w:lineRule="auto"/>
        <w:tabs>
          <w:tab w:leader="none" w:pos="968"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October 30, 2026, the Company had 12.5 million shares remaining under its share repurchase authorizations.</w:t>
      </w:r>
    </w:p>
    <w:p>
      <w:pPr>
        <w:ind w:left="968" w:hanging="320"/>
        <w:spacing w:after="0" w:line="243" w:lineRule="auto"/>
        <w:tabs>
          <w:tab w:leader="none" w:pos="981"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August 4, 2026, the Company completed the sale of its Limited Partner stake in a third-party fund for approximately $185 million, net of transaction costs, resulting in a pre-tax gain of $175 million.</w:t>
      </w:r>
    </w:p>
    <w:p>
      <w:pPr>
        <w:spacing w:after="0" w:line="200" w:lineRule="exact"/>
        <w:rPr>
          <w:rFonts w:ascii="Times New Roman" w:cs="Times New Roman" w:eastAsia="Times New Roman" w:hAnsi="Times New Roman"/>
          <w:sz w:val="19"/>
          <w:szCs w:val="19"/>
          <w:color w:val="auto"/>
        </w:rPr>
      </w:pPr>
    </w:p>
    <w:p>
      <w:pPr>
        <w:spacing w:after="0" w:line="251" w:lineRule="exact"/>
        <w:rPr>
          <w:rFonts w:ascii="Times New Roman" w:cs="Times New Roman" w:eastAsia="Times New Roman" w:hAnsi="Times New Roman"/>
          <w:sz w:val="19"/>
          <w:szCs w:val="19"/>
          <w:color w:val="auto"/>
        </w:rPr>
      </w:pPr>
    </w:p>
    <w:p>
      <w:pPr>
        <w:ind w:left="328" w:hanging="328"/>
        <w:spacing w:after="0"/>
        <w:tabs>
          <w:tab w:leader="none" w:pos="328"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Emerging &amp; Other</w:t>
      </w:r>
    </w:p>
    <w:p>
      <w:pPr>
        <w:spacing w:after="0" w:line="8" w:lineRule="exact"/>
        <w:rPr>
          <w:rFonts w:ascii="Times New Roman" w:cs="Times New Roman" w:eastAsia="Times New Roman" w:hAnsi="Times New Roman"/>
          <w:sz w:val="19"/>
          <w:szCs w:val="19"/>
          <w:b w:val="1"/>
          <w:bCs w:val="1"/>
          <w:color w:val="auto"/>
        </w:rPr>
      </w:pPr>
    </w:p>
    <w:p>
      <w:pPr>
        <w:ind w:left="968" w:hanging="320"/>
        <w:spacing w:after="0" w:line="237" w:lineRule="auto"/>
        <w:tabs>
          <w:tab w:leader="none" w:pos="99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Q3 2026 revenue increased 21% to $21 million due to 39% growth at The Daily Beast and 18% growth at Vivian Health (accelerating from 12% in Q2 2026).</w:t>
      </w:r>
    </w:p>
    <w:p>
      <w:pPr>
        <w:ind w:left="968" w:right="40" w:hanging="320"/>
        <w:spacing w:after="0" w:line="235" w:lineRule="auto"/>
        <w:tabs>
          <w:tab w:leader="none" w:pos="967"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Q3 2026 operating income improved to $4 million versus a loss of $21 million in Q3 2025 driven by the inclusion of $21 million in legal fees and settlement expenses related to a legacy business legal matter in Q3 2025 and $2 million higher Adjusted EBITDA driven by The Daily Beast and Vivian Health.</w:t>
      </w:r>
    </w:p>
    <w:p>
      <w:pPr>
        <w:spacing w:after="0" w:line="319" w:lineRule="exact"/>
        <w:rPr>
          <w:rFonts w:ascii="Times New Roman" w:cs="Times New Roman" w:eastAsia="Times New Roman" w:hAnsi="Times New Roman"/>
          <w:sz w:val="19"/>
          <w:szCs w:val="19"/>
          <w:color w:val="auto"/>
        </w:rPr>
      </w:pPr>
    </w:p>
    <w:p>
      <w:pPr>
        <w:ind w:left="328" w:hanging="328"/>
        <w:spacing w:after="0"/>
        <w:tabs>
          <w:tab w:leader="none" w:pos="3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See the FY 2026 outlook detail and commentary on page </w:t>
      </w:r>
      <w:r>
        <w:rPr>
          <w:rFonts w:ascii="Times New Roman" w:cs="Times New Roman" w:eastAsia="Times New Roman" w:hAnsi="Times New Roman"/>
          <w:sz w:val="19"/>
          <w:szCs w:val="19"/>
          <w:i w:val="1"/>
          <w:iCs w:val="1"/>
          <w:u w:val="single" w:color="auto"/>
          <w:color w:val="0000FF"/>
        </w:rPr>
        <w:t>15</w:t>
      </w:r>
      <w:r>
        <w:rPr>
          <w:rFonts w:ascii="Times New Roman" w:cs="Times New Roman" w:eastAsia="Times New Roman" w:hAnsi="Times New Roman"/>
          <w:sz w:val="19"/>
          <w:szCs w:val="19"/>
          <w:color w:val="auto"/>
        </w:rPr>
        <w:t>.</w:t>
      </w:r>
    </w:p>
    <w:p>
      <w:pPr>
        <w:sectPr>
          <w:pgSz w:w="11900" w:h="16838" w:orient="portrait"/>
          <w:cols w:equalWidth="0" w:num="1">
            <w:col w:w="10908"/>
          </w:cols>
          <w:pgMar w:left="652" w:top="121" w:right="339" w:bottom="1440" w:gutter="0" w:footer="0" w:header="0"/>
        </w:sectPr>
      </w:pPr>
    </w:p>
    <w:bookmarkStart w:id="6" w:name="page7"/>
    <w:bookmarkEnd w:id="6"/>
    <w:p>
      <w:pPr>
        <w:ind w:left="9600"/>
        <w:spacing w:after="0"/>
        <w:rPr>
          <w:sz w:val="20"/>
          <w:szCs w:val="20"/>
          <w:color w:val="auto"/>
        </w:rPr>
      </w:pPr>
      <w:r>
        <w:rPr>
          <w:rFonts w:ascii="Times New Roman" w:cs="Times New Roman" w:eastAsia="Times New Roman" w:hAnsi="Times New Roman"/>
          <w:sz w:val="18"/>
          <w:szCs w:val="18"/>
          <w:color w:val="auto"/>
        </w:rPr>
        <w:t>Page 3 of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DISCUSSION OF FINANCIAL AND OPERATING RESULTS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rounding differences may occur)</w:t>
            </w:r>
          </w:p>
        </w:tc>
        <w:tc>
          <w:tcPr>
            <w:tcW w:w="3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3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0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487"/>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People Inc.</w:t>
            </w:r>
          </w:p>
        </w:tc>
        <w:tc>
          <w:tcPr>
            <w:tcW w:w="30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409.9</w:t>
            </w:r>
          </w:p>
        </w:tc>
        <w:tc>
          <w:tcPr>
            <w:tcW w:w="100" w:type="dxa"/>
            <w:vAlign w:val="bottom"/>
          </w:tcPr>
          <w:p>
            <w:pPr>
              <w:spacing w:after="0"/>
              <w:rPr>
                <w:sz w:val="23"/>
                <w:szCs w:val="23"/>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429.8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-5 %</w:t>
            </w:r>
          </w:p>
        </w:tc>
        <w:tc>
          <w:tcPr>
            <w:tcW w:w="0" w:type="dxa"/>
            <w:vAlign w:val="bottom"/>
          </w:tcPr>
          <w:p>
            <w:pPr>
              <w:spacing w:after="0"/>
              <w:rPr>
                <w:sz w:val="1"/>
                <w:szCs w:val="1"/>
                <w:color w:val="auto"/>
              </w:rPr>
            </w:pPr>
          </w:p>
        </w:tc>
      </w:tr>
      <w:tr>
        <w:trPr>
          <w:trHeight w:val="26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Emerging &amp; Other</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21 %</w:t>
            </w:r>
          </w:p>
        </w:tc>
        <w:tc>
          <w:tcPr>
            <w:tcW w:w="0" w:type="dxa"/>
            <w:vAlign w:val="bottom"/>
          </w:tcPr>
          <w:p>
            <w:pPr>
              <w:spacing w:after="0"/>
              <w:rPr>
                <w:sz w:val="1"/>
                <w:szCs w:val="1"/>
                <w:color w:val="auto"/>
              </w:rPr>
            </w:pPr>
          </w:p>
        </w:tc>
      </w:tr>
      <w:tr>
        <w:trPr>
          <w:trHeight w:val="237"/>
        </w:trPr>
        <w:tc>
          <w:tcPr>
            <w:tcW w:w="6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430.8</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447.1</w:t>
            </w:r>
          </w:p>
        </w:tc>
        <w:tc>
          <w:tcPr>
            <w:tcW w:w="100" w:type="dxa"/>
            <w:vAlign w:val="bottom"/>
            <w:tcBorders>
              <w:top w:val="single" w:sz="8" w:color="auto"/>
            </w:tcBorders>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20"/>
                <w:szCs w:val="20"/>
                <w:color w:val="auto"/>
              </w:rPr>
              <w:t>Operating income (loss)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People Inc.</w:t>
            </w:r>
          </w:p>
        </w:tc>
        <w:tc>
          <w:tcPr>
            <w:tcW w:w="30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37.2</w:t>
            </w:r>
          </w:p>
        </w:tc>
        <w:tc>
          <w:tcPr>
            <w:tcW w:w="100" w:type="dxa"/>
            <w:vAlign w:val="bottom"/>
          </w:tcPr>
          <w:p>
            <w:pPr>
              <w:spacing w:after="0"/>
              <w:rPr>
                <w:sz w:val="23"/>
                <w:szCs w:val="23"/>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30 %</w:t>
            </w:r>
          </w:p>
        </w:tc>
        <w:tc>
          <w:tcPr>
            <w:tcW w:w="0" w:type="dxa"/>
            <w:vAlign w:val="bottom"/>
          </w:tcPr>
          <w:p>
            <w:pPr>
              <w:spacing w:after="0"/>
              <w:rPr>
                <w:sz w:val="1"/>
                <w:szCs w:val="1"/>
                <w:color w:val="auto"/>
              </w:rPr>
            </w:pPr>
          </w:p>
        </w:tc>
      </w:tr>
      <w:tr>
        <w:trPr>
          <w:trHeight w:val="26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Emerging &amp; Other</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NM</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(35.0)</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9"/>
                <w:szCs w:val="19"/>
                <w:color w:val="auto"/>
              </w:rPr>
              <w:t>-26 %</w:t>
            </w:r>
          </w:p>
        </w:tc>
        <w:tc>
          <w:tcPr>
            <w:tcW w:w="0" w:type="dxa"/>
            <w:vAlign w:val="bottom"/>
          </w:tcPr>
          <w:p>
            <w:pPr>
              <w:spacing w:after="0"/>
              <w:rPr>
                <w:sz w:val="1"/>
                <w:szCs w:val="1"/>
                <w:color w:val="auto"/>
              </w:rPr>
            </w:pPr>
          </w:p>
        </w:tc>
      </w:tr>
      <w:tr>
        <w:trPr>
          <w:trHeight w:val="261"/>
        </w:trPr>
        <w:tc>
          <w:tcPr>
            <w:tcW w:w="6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 Operating loss</w:t>
            </w:r>
          </w:p>
        </w:tc>
        <w:tc>
          <w:tcPr>
            <w:tcW w:w="30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89 %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Adjusted EBITDA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People Inc.</w:t>
            </w:r>
          </w:p>
        </w:tc>
        <w:tc>
          <w:tcPr>
            <w:tcW w:w="3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-7 %</w:t>
            </w:r>
          </w:p>
        </w:tc>
        <w:tc>
          <w:tcPr>
            <w:tcW w:w="0" w:type="dxa"/>
            <w:vAlign w:val="bottom"/>
          </w:tcPr>
          <w:p>
            <w:pPr>
              <w:spacing w:after="0"/>
              <w:rPr>
                <w:sz w:val="1"/>
                <w:szCs w:val="1"/>
                <w:color w:val="auto"/>
              </w:rPr>
            </w:pPr>
          </w:p>
        </w:tc>
      </w:tr>
      <w:tr>
        <w:trPr>
          <w:trHeight w:val="257"/>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Emerging &amp; Other</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187 %</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12 %</w:t>
            </w:r>
          </w:p>
        </w:tc>
        <w:tc>
          <w:tcPr>
            <w:tcW w:w="0" w:type="dxa"/>
            <w:vAlign w:val="bottom"/>
          </w:tcPr>
          <w:p>
            <w:pPr>
              <w:spacing w:after="0"/>
              <w:rPr>
                <w:sz w:val="1"/>
                <w:szCs w:val="1"/>
                <w:color w:val="auto"/>
              </w:rPr>
            </w:pPr>
          </w:p>
        </w:tc>
      </w:tr>
      <w:tr>
        <w:trPr>
          <w:trHeight w:val="237"/>
        </w:trPr>
        <w:tc>
          <w:tcPr>
            <w:tcW w:w="6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Adjusted EBITDA</w:t>
            </w:r>
          </w:p>
        </w:tc>
        <w:tc>
          <w:tcPr>
            <w:tcW w:w="3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-1 %</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Page 4 of 22</w:t>
            </w:r>
          </w:p>
        </w:tc>
        <w:tc>
          <w:tcPr>
            <w:tcW w:w="0" w:type="dxa"/>
            <w:vAlign w:val="bottom"/>
          </w:tcPr>
          <w:p>
            <w:pPr>
              <w:spacing w:after="0"/>
              <w:rPr>
                <w:sz w:val="1"/>
                <w:szCs w:val="1"/>
                <w:color w:val="auto"/>
              </w:rPr>
            </w:pPr>
          </w:p>
        </w:tc>
      </w:tr>
      <w:tr>
        <w:trPr>
          <w:trHeight w:val="769"/>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People Inc.</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rounding differences may occur)</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of $409.9 million decreased 5% year-over-year reflecting:</w:t>
      </w:r>
    </w:p>
    <w:p>
      <w:pPr>
        <w:spacing w:after="0" w:line="30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i w:val="1"/>
          <w:iCs w:val="1"/>
          <w:color w:val="auto"/>
        </w:rPr>
        <w:t>Digital</w:t>
      </w:r>
      <w:r>
        <w:rPr>
          <w:rFonts w:ascii="Times New Roman" w:cs="Times New Roman" w:eastAsia="Times New Roman" w:hAnsi="Times New Roman"/>
          <w:sz w:val="20"/>
          <w:szCs w:val="20"/>
          <w:color w:val="auto"/>
        </w:rPr>
        <w:t xml:space="preserve"> revenue growth reflecting:</w:t>
      </w:r>
    </w:p>
    <w:p>
      <w:pPr>
        <w:spacing w:after="0" w:line="314" w:lineRule="exact"/>
        <w:rPr>
          <w:rFonts w:ascii="Times New Roman" w:cs="Times New Roman" w:eastAsia="Times New Roman" w:hAnsi="Times New Roman"/>
          <w:sz w:val="20"/>
          <w:szCs w:val="20"/>
          <w:color w:val="auto"/>
        </w:rPr>
      </w:pPr>
    </w:p>
    <w:p>
      <w:pPr>
        <w:ind w:left="1960" w:hanging="332"/>
        <w:spacing w:after="0" w:line="339" w:lineRule="auto"/>
        <w:tabs>
          <w:tab w:leader="none" w:pos="1963"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Licensing and other revenue increased 49% due primarily to improved performance from Apple News+ and other content syndication partners as well as from the contribution of the Meta content partnership (signed in Q4 2025)</w:t>
      </w:r>
    </w:p>
    <w:p>
      <w:pPr>
        <w:spacing w:after="0" w:line="187" w:lineRule="exact"/>
        <w:rPr>
          <w:rFonts w:ascii="Times New Roman" w:cs="Times New Roman" w:eastAsia="Times New Roman" w:hAnsi="Times New Roman"/>
          <w:sz w:val="20"/>
          <w:szCs w:val="20"/>
          <w:color w:val="auto"/>
        </w:rPr>
      </w:pPr>
    </w:p>
    <w:p>
      <w:pPr>
        <w:ind w:left="1960" w:hanging="332"/>
        <w:spacing w:after="0" w:line="339" w:lineRule="auto"/>
        <w:tabs>
          <w:tab w:leader="none" w:pos="1976"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marketing revenue increased 2%, driven by 4% affiliate commerce growth primarily resulting from higher transaction volumes</w:t>
      </w:r>
    </w:p>
    <w:p>
      <w:pPr>
        <w:spacing w:after="0" w:line="18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Advertising revenue decreased 8% year-over-year due to:</w:t>
      </w:r>
    </w:p>
    <w:p>
      <w:pPr>
        <w:spacing w:after="0" w:line="67" w:lineRule="exact"/>
        <w:rPr>
          <w:rFonts w:ascii="Times New Roman" w:cs="Times New Roman" w:eastAsia="Times New Roman" w:hAnsi="Times New Roman"/>
          <w:sz w:val="20"/>
          <w:szCs w:val="20"/>
          <w:color w:val="auto"/>
        </w:rPr>
      </w:pPr>
    </w:p>
    <w:p>
      <w:pPr>
        <w:jc w:val="both"/>
        <w:ind w:left="2600" w:hanging="324"/>
        <w:spacing w:after="0" w:line="309" w:lineRule="auto"/>
        <w:tabs>
          <w:tab w:leader="none" w:pos="2588" w:val="left"/>
        </w:tabs>
        <w:numPr>
          <w:ilvl w:val="3"/>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premium advertising revenue due to declines in premium programmatic volume and declines from a legacy agency business, partially offset by direct-sold growth primarily from the Health and Pharmaceuticals, Beauty and Style, and Food and Beverage categories driven primarily by Non-session-based revenue streams</w:t>
      </w:r>
    </w:p>
    <w:p>
      <w:pPr>
        <w:spacing w:after="0" w:line="3" w:lineRule="exact"/>
        <w:rPr>
          <w:rFonts w:ascii="Times New Roman" w:cs="Times New Roman" w:eastAsia="Times New Roman" w:hAnsi="Times New Roman"/>
          <w:sz w:val="20"/>
          <w:szCs w:val="20"/>
          <w:color w:val="auto"/>
        </w:rPr>
      </w:pPr>
    </w:p>
    <w:p>
      <w:pPr>
        <w:jc w:val="both"/>
        <w:ind w:left="2600" w:hanging="324"/>
        <w:spacing w:after="0" w:line="324" w:lineRule="auto"/>
        <w:tabs>
          <w:tab w:leader="none" w:pos="2588" w:val="left"/>
        </w:tabs>
        <w:numPr>
          <w:ilvl w:val="3"/>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open programmatic advertising revenue due to lower impression volumes driven by a 26% decline in Core Sessions, due primarily to AI-oriented search and content discovery experiences, partially offset by higher rates</w:t>
      </w:r>
    </w:p>
    <w:p>
      <w:pPr>
        <w:spacing w:after="0" w:line="198" w:lineRule="exact"/>
        <w:rPr>
          <w:rFonts w:ascii="Times New Roman" w:cs="Times New Roman" w:eastAsia="Times New Roman" w:hAnsi="Times New Roman"/>
          <w:sz w:val="20"/>
          <w:szCs w:val="20"/>
          <w:color w:val="auto"/>
        </w:rPr>
      </w:pPr>
    </w:p>
    <w:p>
      <w:pPr>
        <w:ind w:left="1300" w:hanging="320"/>
        <w:spacing w:after="0" w:line="343" w:lineRule="auto"/>
        <w:tabs>
          <w:tab w:leader="none" w:pos="131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i w:val="1"/>
          <w:iCs w:val="1"/>
          <w:color w:val="auto"/>
        </w:rPr>
        <w:t>Print</w:t>
      </w:r>
      <w:r>
        <w:rPr>
          <w:rFonts w:ascii="Times New Roman" w:cs="Times New Roman" w:eastAsia="Times New Roman" w:hAnsi="Times New Roman"/>
          <w:sz w:val="20"/>
          <w:szCs w:val="20"/>
          <w:color w:val="auto"/>
        </w:rPr>
        <w:t xml:space="preserve"> revenue declines driven by the ongoing portfolio optimization and the continued migration of audience and advertising spend from print to digital</w:t>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Page 5 of 22</w:t>
            </w:r>
          </w:p>
        </w:tc>
        <w:tc>
          <w:tcPr>
            <w:tcW w:w="0" w:type="dxa"/>
            <w:vAlign w:val="bottom"/>
          </w:tcPr>
          <w:p>
            <w:pPr>
              <w:spacing w:after="0"/>
              <w:rPr>
                <w:sz w:val="1"/>
                <w:szCs w:val="1"/>
                <w:color w:val="auto"/>
              </w:rPr>
            </w:pPr>
          </w:p>
        </w:tc>
      </w:tr>
      <w:tr>
        <w:trPr>
          <w:trHeight w:val="769"/>
        </w:trPr>
        <w:tc>
          <w:tcPr>
            <w:tcW w:w="6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Income (Loss) and Adjusted EBITDA</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rounding differences may occur)</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(unallocated corporate costs)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(unallocated corporate costs)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$37.2 million increased 30% reflecting:</w:t>
      </w:r>
    </w:p>
    <w:p>
      <w:pPr>
        <w:spacing w:after="0" w:line="30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Digital </w:t>
      </w:r>
      <w:r>
        <w:rPr>
          <w:rFonts w:ascii="Times New Roman" w:cs="Times New Roman" w:eastAsia="Times New Roman" w:hAnsi="Times New Roman"/>
          <w:sz w:val="20"/>
          <w:szCs w:val="20"/>
          <w:color w:val="auto"/>
        </w:rPr>
        <w:t>operating income increased 27% to $48.7 million reflecting:</w:t>
      </w:r>
    </w:p>
    <w:p>
      <w:pPr>
        <w:spacing w:after="0" w:line="71" w:lineRule="exact"/>
        <w:rPr>
          <w:rFonts w:ascii="Times New Roman" w:cs="Times New Roman" w:eastAsia="Times New Roman" w:hAnsi="Times New Roman"/>
          <w:sz w:val="20"/>
          <w:szCs w:val="20"/>
          <w:i w:val="1"/>
          <w:iCs w:val="1"/>
          <w:color w:val="auto"/>
        </w:rPr>
      </w:pPr>
    </w:p>
    <w:p>
      <w:pPr>
        <w:ind w:left="1940" w:hanging="312"/>
        <w:spacing w:after="0"/>
        <w:tabs>
          <w:tab w:leader="none" w:pos="1940" w:val="left"/>
        </w:tabs>
        <w:numPr>
          <w:ilvl w:val="2"/>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inclusion of $8.3 million severance and related expenses in Q3 2025</w:t>
      </w:r>
    </w:p>
    <w:p>
      <w:pPr>
        <w:spacing w:after="0" w:line="66" w:lineRule="exact"/>
        <w:rPr>
          <w:rFonts w:ascii="Arial" w:cs="Arial" w:eastAsia="Arial" w:hAnsi="Arial"/>
          <w:sz w:val="20"/>
          <w:szCs w:val="20"/>
          <w:color w:val="auto"/>
        </w:rPr>
      </w:pPr>
    </w:p>
    <w:p>
      <w:pPr>
        <w:ind w:left="1940" w:hanging="312"/>
        <w:spacing w:after="0"/>
        <w:tabs>
          <w:tab w:leader="none" w:pos="19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 million lower amortization of intangibles</w:t>
      </w:r>
    </w:p>
    <w:p>
      <w:pPr>
        <w:spacing w:after="0" w:line="67" w:lineRule="exact"/>
        <w:rPr>
          <w:rFonts w:ascii="Times New Roman" w:cs="Times New Roman" w:eastAsia="Times New Roman" w:hAnsi="Times New Roman"/>
          <w:sz w:val="20"/>
          <w:szCs w:val="20"/>
          <w:color w:val="auto"/>
        </w:rPr>
      </w:pPr>
    </w:p>
    <w:p>
      <w:pPr>
        <w:jc w:val="both"/>
        <w:ind w:left="1960" w:hanging="332"/>
        <w:spacing w:after="0" w:line="324" w:lineRule="auto"/>
        <w:tabs>
          <w:tab w:leader="none" w:pos="1963" w:val="left"/>
        </w:tabs>
        <w:numPr>
          <w:ilvl w:val="2"/>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Adjusted EBITDA decreased 2% to $72.0 million due primarily to higher selling and marketing expense primarily related to Performance marketing revenue, as well as higher certain compensation and software license and maintenance costs, partially offset by the revenue growth</w:t>
      </w:r>
    </w:p>
    <w:p>
      <w:pPr>
        <w:spacing w:after="0" w:line="197"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Print </w:t>
      </w:r>
      <w:r>
        <w:rPr>
          <w:rFonts w:ascii="Times New Roman" w:cs="Times New Roman" w:eastAsia="Times New Roman" w:hAnsi="Times New Roman"/>
          <w:sz w:val="20"/>
          <w:szCs w:val="20"/>
          <w:color w:val="auto"/>
        </w:rPr>
        <w:t>operating income increased 263% to $3.7 million reflecting:</w:t>
      </w:r>
    </w:p>
    <w:p>
      <w:pPr>
        <w:spacing w:after="0" w:line="71"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inclusion of $5.8 million severance and related expenses in Q3 2025</w:t>
      </w:r>
    </w:p>
    <w:p>
      <w:pPr>
        <w:spacing w:after="0" w:line="6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$0.3 million lower depreciation</w:t>
      </w:r>
    </w:p>
    <w:p>
      <w:pPr>
        <w:spacing w:after="0" w:line="67" w:lineRule="exact"/>
        <w:rPr>
          <w:rFonts w:ascii="Times New Roman" w:cs="Times New Roman" w:eastAsia="Times New Roman" w:hAnsi="Times New Roman"/>
          <w:sz w:val="20"/>
          <w:szCs w:val="20"/>
          <w:color w:val="auto"/>
        </w:rPr>
      </w:pPr>
    </w:p>
    <w:p>
      <w:pPr>
        <w:ind w:left="1960" w:hanging="332"/>
        <w:spacing w:after="0" w:line="339" w:lineRule="auto"/>
        <w:tabs>
          <w:tab w:leader="none" w:pos="1976"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declined 32% to $8.3 million due to the lower revenue, partially offset by lower operating expenses resulting from continued cost rationalization</w:t>
      </w:r>
    </w:p>
    <w:p>
      <w:pPr>
        <w:spacing w:after="0" w:line="200" w:lineRule="exact"/>
        <w:rPr>
          <w:rFonts w:ascii="Times New Roman" w:cs="Times New Roman" w:eastAsia="Times New Roman" w:hAnsi="Times New Roman"/>
          <w:sz w:val="20"/>
          <w:szCs w:val="20"/>
          <w:color w:val="auto"/>
        </w:rPr>
      </w:pPr>
    </w:p>
    <w:p>
      <w:pPr>
        <w:spacing w:after="0" w:line="22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(unallocated corporate costs) </w:t>
      </w:r>
      <w:r>
        <w:rPr>
          <w:rFonts w:ascii="Times New Roman" w:cs="Times New Roman" w:eastAsia="Times New Roman" w:hAnsi="Times New Roman"/>
          <w:sz w:val="20"/>
          <w:szCs w:val="20"/>
          <w:color w:val="auto"/>
        </w:rPr>
        <w:t>operating loss increased 39% to $15.1 million reflecting:</w:t>
      </w:r>
    </w:p>
    <w:p>
      <w:pPr>
        <w:spacing w:after="0" w:line="71" w:lineRule="exact"/>
        <w:rPr>
          <w:rFonts w:ascii="Times New Roman" w:cs="Times New Roman" w:eastAsia="Times New Roman" w:hAnsi="Times New Roman"/>
          <w:sz w:val="20"/>
          <w:szCs w:val="20"/>
          <w:color w:val="auto"/>
        </w:rPr>
      </w:pPr>
    </w:p>
    <w:p>
      <w:pPr>
        <w:ind w:left="1960" w:right="20" w:hanging="332"/>
        <w:spacing w:after="0" w:line="309" w:lineRule="auto"/>
        <w:tabs>
          <w:tab w:leader="none" w:pos="1949"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inclusion of a $5.2 million gain from a lease amendment in Q3 2025 related to surrendering certain office space early</w:t>
      </w:r>
    </w:p>
    <w:p>
      <w:pPr>
        <w:spacing w:after="0" w:line="1"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$0.7 million higher costs in Q3 2026 related to People Inc.’s antitrust litigation against Google</w:t>
      </w:r>
    </w:p>
    <w:p>
      <w:pPr>
        <w:spacing w:after="0" w:line="6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loss increased 2% to $9.9 million</w:t>
      </w:r>
    </w:p>
    <w:p>
      <w:pPr>
        <w:spacing w:after="0" w:line="6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inclusion of $1.0 million severance and related expenses in Q3 2025</w:t>
      </w:r>
    </w:p>
    <w:p>
      <w:pPr>
        <w:spacing w:after="0" w:line="6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 million lower stock-based compensation expense</w:t>
      </w:r>
    </w:p>
    <w:p>
      <w:pPr>
        <w:sectPr>
          <w:pgSz w:w="11900" w:h="16838" w:orient="portrait"/>
          <w:cols w:equalWidth="0" w:num="1">
            <w:col w:w="11240"/>
          </w:cols>
          <w:pgMar w:left="320" w:top="121" w:right="339" w:bottom="1440" w:gutter="0" w:footer="0" w:header="0"/>
        </w:sectPr>
      </w:pPr>
    </w:p>
    <w:bookmarkStart w:id="9" w:name="page10"/>
    <w:bookmarkEnd w:id="9"/>
    <w:p>
      <w:pPr>
        <w:ind w:left="9600"/>
        <w:spacing w:after="0"/>
        <w:rPr>
          <w:sz w:val="20"/>
          <w:szCs w:val="20"/>
          <w:color w:val="auto"/>
        </w:rPr>
      </w:pPr>
      <w:r>
        <w:rPr>
          <w:rFonts w:ascii="Times New Roman" w:cs="Times New Roman" w:eastAsia="Times New Roman" w:hAnsi="Times New Roman"/>
          <w:sz w:val="18"/>
          <w:szCs w:val="18"/>
          <w:color w:val="auto"/>
        </w:rPr>
        <w:t>Page 6 of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&amp; Other</w:t>
      </w:r>
    </w:p>
    <w:p>
      <w:pPr>
        <w:spacing w:after="0" w:line="28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increased 21% to $21.0 million reflecting:</w:t>
      </w:r>
    </w:p>
    <w:p>
      <w:pPr>
        <w:spacing w:after="0" w:line="67" w:lineRule="exact"/>
        <w:rPr>
          <w:rFonts w:ascii="Times New Roman" w:cs="Times New Roman" w:eastAsia="Times New Roman" w:hAnsi="Times New Roman"/>
          <w:sz w:val="20"/>
          <w:szCs w:val="20"/>
          <w:color w:val="auto"/>
        </w:rPr>
      </w:pPr>
    </w:p>
    <w:p>
      <w:pPr>
        <w:ind w:left="1300" w:hanging="320"/>
        <w:spacing w:after="0" w:line="309" w:lineRule="auto"/>
        <w:tabs>
          <w:tab w:leader="none" w:pos="1316"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39% higher revenue from The Daily Beast driven primarily by advertising, content licensing and subscription revenue growth</w:t>
      </w:r>
    </w:p>
    <w:p>
      <w:pPr>
        <w:spacing w:after="0" w:line="1" w:lineRule="exact"/>
        <w:rPr>
          <w:rFonts w:ascii="Times New Roman" w:cs="Times New Roman" w:eastAsia="Times New Roman" w:hAnsi="Times New Roman"/>
          <w:sz w:val="20"/>
          <w:szCs w:val="20"/>
          <w:color w:val="auto"/>
        </w:rPr>
      </w:pPr>
    </w:p>
    <w:p>
      <w:pPr>
        <w:ind w:left="1300" w:hanging="320"/>
        <w:spacing w:after="0" w:line="339" w:lineRule="auto"/>
        <w:tabs>
          <w:tab w:leader="none" w:pos="1289"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higher revenue from Vivian Health driven by increased subscription and usage revenue, due in part to the contribution from its AI Assistant subscription product launched in Q4 2025</w:t>
      </w:r>
    </w:p>
    <w:p>
      <w:pPr>
        <w:spacing w:after="0" w:line="18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$3.6 million compared to a loss of $20.8 million in Q3 2025 reflecting:</w:t>
      </w:r>
    </w:p>
    <w:p>
      <w:pPr>
        <w:spacing w:after="0" w:line="67" w:lineRule="exact"/>
        <w:rPr>
          <w:rFonts w:ascii="Times New Roman" w:cs="Times New Roman" w:eastAsia="Times New Roman" w:hAnsi="Times New Roman"/>
          <w:sz w:val="20"/>
          <w:szCs w:val="20"/>
          <w:color w:val="auto"/>
        </w:rPr>
      </w:pPr>
    </w:p>
    <w:p>
      <w:pPr>
        <w:ind w:left="1300" w:hanging="320"/>
        <w:spacing w:after="0" w:line="309" w:lineRule="auto"/>
        <w:tabs>
          <w:tab w:leader="none" w:pos="1289"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inclusion of $21.4 million in legal fees and settlement expenses in Q3 2025 for litigation related to a legacy business that concluded in Q3 2025</w:t>
      </w:r>
    </w:p>
    <w:p>
      <w:pPr>
        <w:spacing w:after="0" w:line="1" w:lineRule="exact"/>
        <w:rPr>
          <w:rFonts w:ascii="Times New Roman" w:cs="Times New Roman" w:eastAsia="Times New Roman" w:hAnsi="Times New Roman"/>
          <w:sz w:val="20"/>
          <w:szCs w:val="20"/>
          <w:color w:val="auto"/>
        </w:rPr>
      </w:pPr>
    </w:p>
    <w:p>
      <w:pPr>
        <w:ind w:left="1300" w:hanging="320"/>
        <w:spacing w:after="0" w:line="309" w:lineRule="auto"/>
        <w:tabs>
          <w:tab w:leader="none" w:pos="130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increased $2.5 million to $3.8 million driven by higher Adjusted EBITDA at both The Daily Beast and Vivian Health</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$0.5 million lower stock-based compensation expense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w:t>
      </w:r>
    </w:p>
    <w:p>
      <w:pPr>
        <w:spacing w:after="0" w:line="314"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loss increased $8.9 million to $43.9 million reflecting:</w:t>
      </w:r>
    </w:p>
    <w:p>
      <w:pPr>
        <w:spacing w:after="0" w:line="67" w:lineRule="exact"/>
        <w:rPr>
          <w:rFonts w:ascii="Times New Roman" w:cs="Times New Roman" w:eastAsia="Times New Roman" w:hAnsi="Times New Roman"/>
          <w:sz w:val="20"/>
          <w:szCs w:val="20"/>
          <w:color w:val="auto"/>
        </w:rPr>
      </w:pPr>
    </w:p>
    <w:p>
      <w:pPr>
        <w:ind w:left="1300" w:right="20" w:hanging="320"/>
        <w:spacing w:after="0" w:line="309" w:lineRule="auto"/>
        <w:tabs>
          <w:tab w:leader="none" w:pos="131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$12.1 million higher stock-based compensation expense due primarily to the acceleration and modification of employee awards related to the consolidation of corporate functions with those of the People Inc. business</w:t>
      </w:r>
    </w:p>
    <w:p>
      <w:pPr>
        <w:spacing w:after="0" w:line="1" w:lineRule="exact"/>
        <w:rPr>
          <w:rFonts w:ascii="Times New Roman" w:cs="Times New Roman" w:eastAsia="Times New Roman" w:hAnsi="Times New Roman"/>
          <w:sz w:val="20"/>
          <w:szCs w:val="20"/>
          <w:color w:val="auto"/>
        </w:rPr>
      </w:pPr>
    </w:p>
    <w:p>
      <w:pPr>
        <w:ind w:left="1300" w:hanging="320"/>
        <w:spacing w:after="0" w:line="309" w:lineRule="auto"/>
        <w:tabs>
          <w:tab w:leader="none" w:pos="133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million higher severance and related expenses due primarily to the above-mentioned consolidation of corporate functions</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$0.7 million higher transaction-related costs</w:t>
      </w:r>
    </w:p>
    <w:p>
      <w:pPr>
        <w:spacing w:after="0" w:line="67" w:lineRule="exact"/>
        <w:rPr>
          <w:rFonts w:ascii="Times New Roman" w:cs="Times New Roman" w:eastAsia="Times New Roman" w:hAnsi="Times New Roman"/>
          <w:sz w:val="20"/>
          <w:szCs w:val="20"/>
          <w:color w:val="auto"/>
        </w:rPr>
      </w:pPr>
    </w:p>
    <w:p>
      <w:pPr>
        <w:ind w:left="1300" w:hanging="320"/>
        <w:spacing w:after="0" w:line="309" w:lineRule="auto"/>
        <w:tabs>
          <w:tab w:leader="none" w:pos="128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losses decreased 12% to $19.4 million due primarily to lower professional fees, maintenance expense and certain compensation expense</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 million lower costs related to litigation matters</w:t>
      </w:r>
    </w:p>
    <w:p>
      <w:pPr>
        <w:sectPr>
          <w:pgSz w:w="11900" w:h="16838" w:orient="portrait"/>
          <w:cols w:equalWidth="0" w:num="1">
            <w:col w:w="11240"/>
          </w:cols>
          <w:pgMar w:left="320" w:top="121" w:right="339" w:bottom="1440" w:gutter="0" w:footer="0" w:header="0"/>
        </w:sectPr>
      </w:pPr>
    </w:p>
    <w:bookmarkStart w:id="10" w:name="page11"/>
    <w:bookmarkEnd w:id="10"/>
    <w:p>
      <w:pPr>
        <w:ind w:left="9600"/>
        <w:spacing w:after="0"/>
        <w:rPr>
          <w:sz w:val="20"/>
          <w:szCs w:val="20"/>
          <w:color w:val="auto"/>
        </w:rPr>
      </w:pPr>
      <w:r>
        <w:rPr>
          <w:rFonts w:ascii="Times New Roman" w:cs="Times New Roman" w:eastAsia="Times New Roman" w:hAnsi="Times New Roman"/>
          <w:sz w:val="18"/>
          <w:szCs w:val="18"/>
          <w:color w:val="auto"/>
        </w:rPr>
        <w:t>Page 7 of 22</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in MGM</w:t>
      </w:r>
    </w:p>
    <w:p>
      <w:pPr>
        <w:spacing w:after="0" w:line="31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color w:val="auto"/>
        </w:rPr>
        <w:t>The Company holds 66.8 million shares of MGM, which were purchased for $1.3 billion, and were valued at $2.0 billion as of October 30, 2026. Net earnings (loss) and diluted earnings (loss) per share reflect changes in MGM’s share price as unrealized gains and losses and, as a result, can be very volatile, which reduces their ability to be effective measures to assess operating performance.</w:t>
      </w:r>
    </w:p>
    <w:p>
      <w:pPr>
        <w:spacing w:after="0" w:line="203"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On October 27, 2026, the Company, Mr. Diller and MGM amended an existing voting agreement to include, among other things, a commitment to not acquire MGM stock if doing so would cause the Company’s and Mr. Diller’s collective ownership to exceed 29.9%.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74"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20"/>
          <w:szCs w:val="20"/>
          <w:color w:val="auto"/>
        </w:rPr>
        <w:t>On August 4, 2026, the Company completed the sale of its Limited Partner stake in a third-party fund to a group of private investors for proceeds, net of transaction costs, of $185.1 million, resulting in a pre-tax gain of $174.9 million.</w:t>
      </w:r>
    </w:p>
    <w:p>
      <w:pPr>
        <w:spacing w:after="0" w:line="16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Q3 2025 Other expense, net included $32.6 million due to an adverse jury verdict on October 24, 2025 related to a gain recorded in 2015 associated with a real estate transaction. A $34.3 million net, non-operating gain was recorded in Other income (expense) at that time, and the proceeds have been held in escrow since the transaction occurred in 2015. In Q4 2025, a $13.4 million reduction in the $32.6 million loss was recorded following the court’s ruling in Q4 2025 that the plaintiffs are not entitled to statutory prejudgment interest.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87"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The Company recorded an income tax benefit of $278.4 million in Q3 2026 for an effective tax rate of 29%, which was higher than the statutory rate due primarily to the realization of a capital loss and state taxes. In Q3 2025, the Company recorded an income tax benefit of $3.1 million for an effective tax rate of 6%, which was lower than the statutory rate due primarily to non-deductible compensation expenses and state taxes, partially offset by excess tax benefits generated from exercising stock-based awards and research credits.</w:t>
      </w:r>
    </w:p>
    <w:p>
      <w:pPr>
        <w:sectPr>
          <w:pgSz w:w="11900" w:h="16838" w:orient="portrait"/>
          <w:cols w:equalWidth="0" w:num="1">
            <w:col w:w="11240"/>
          </w:cols>
          <w:pgMar w:left="320" w:top="121" w:right="339" w:bottom="1440" w:gutter="0" w:footer="0" w:header="0"/>
        </w:sectPr>
      </w:pPr>
    </w:p>
    <w:bookmarkStart w:id="11" w:name="page12"/>
    <w:bookmarkEnd w:id="11"/>
    <w:p>
      <w:pPr>
        <w:ind w:left="9600"/>
        <w:spacing w:after="0"/>
        <w:rPr>
          <w:sz w:val="20"/>
          <w:szCs w:val="20"/>
          <w:color w:val="auto"/>
        </w:rPr>
      </w:pPr>
      <w:r>
        <w:rPr>
          <w:rFonts w:ascii="Times New Roman" w:cs="Times New Roman" w:eastAsia="Times New Roman" w:hAnsi="Times New Roman"/>
          <w:sz w:val="18"/>
          <w:szCs w:val="18"/>
          <w:color w:val="auto"/>
        </w:rPr>
        <w:t>Page 8 of 22</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31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For the nine months ended September 30, 2026, net cash provided by operating activities attributable to continuing operations was $105.6 million, an increase of $105.5 million from net cash provided by operating activities attributable to continuing operations for the nine months ended September 30, 2025. Free Cash Flow increased $92.8 million to positive $80.2 million due primarily to the inclusion of $47.4 million of payments in 2025 at People Inc. related to a lease amendment to surrender certain office space and higher Adjusted EBITDA, partially offset by higher capital expenditures due to leasehold improvements in connection with the optimization of the remaining space under certain amended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295910</wp:posOffset>
            </wp:positionV>
            <wp:extent cx="2468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rounding differences may occur)</w:t>
            </w:r>
          </w:p>
        </w:tc>
        <w:tc>
          <w:tcPr>
            <w:tcW w:w="4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attributable to continuing operations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People Incorporated will host a conference call to answer questions regarding its third quarter results on Tuesday, November 3, 2026, at 8:30 a.m. Eastern Time. This conference call will include the disclosure of certain information, including forward-looking information, which may be material to an investor’s understanding of People Incorporated’s business. The conference call will be accessible to the public at </w:t>
      </w:r>
      <w:r>
        <w:rPr>
          <w:rFonts w:ascii="Times New Roman" w:cs="Times New Roman" w:eastAsia="Times New Roman" w:hAnsi="Times New Roman"/>
          <w:sz w:val="18"/>
          <w:szCs w:val="18"/>
          <w:u w:val="single" w:color="auto"/>
          <w:color w:val="0E32E1"/>
        </w:rPr>
        <w:t>ir.people-incorporated.com</w:t>
      </w:r>
      <w:r>
        <w:rPr>
          <w:rFonts w:ascii="Times New Roman" w:cs="Times New Roman" w:eastAsia="Times New Roman" w:hAnsi="Times New Roman"/>
          <w:sz w:val="18"/>
          <w:szCs w:val="18"/>
          <w:color w:val="auto"/>
        </w:rPr>
        <w:t xml:space="preserve"> along with the Q3 2026 earnings presentation and a subsequent recording of the webcast.</w:t>
      </w:r>
    </w:p>
    <w:p>
      <w:pPr>
        <w:sectPr>
          <w:pgSz w:w="11900" w:h="16838" w:orient="portrait"/>
          <w:cols w:equalWidth="0" w:num="1">
            <w:col w:w="11240"/>
          </w:cols>
          <w:pgMar w:left="320" w:top="121" w:right="339" w:bottom="1440" w:gutter="0" w:footer="0" w:header="0"/>
        </w:sectPr>
      </w:pPr>
    </w:p>
    <w:bookmarkStart w:id="12" w:name="page13"/>
    <w:bookmarkEnd w:id="12"/>
    <w:p>
      <w:pPr>
        <w:ind w:left="9600"/>
        <w:spacing w:after="0"/>
        <w:rPr>
          <w:sz w:val="20"/>
          <w:szCs w:val="20"/>
          <w:color w:val="auto"/>
        </w:rPr>
      </w:pPr>
      <w:r>
        <w:rPr>
          <w:rFonts w:ascii="Times New Roman" w:cs="Times New Roman" w:eastAsia="Times New Roman" w:hAnsi="Times New Roman"/>
          <w:sz w:val="18"/>
          <w:szCs w:val="18"/>
          <w:color w:val="auto"/>
        </w:rPr>
        <w:t>Page 9 of 22</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2026:</w:t>
      </w:r>
    </w:p>
    <w:p>
      <w:pPr>
        <w:spacing w:after="0" w:line="229"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had 75.0 million shares of common stock and Class B common stock outstanding.</w:t>
      </w:r>
    </w:p>
    <w:p>
      <w:pPr>
        <w:spacing w:after="0" w:line="215"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had $1.3 billion in cash and cash equivalents of which the Company (excluding People Inc.) held $946.4 million and People Inc. held $372.4 million.</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had $1.4 billion in long-term debt, which is the obligation of People Inc.</w:t>
      </w:r>
    </w:p>
    <w:p>
      <w:pPr>
        <w:spacing w:after="0" w:line="229" w:lineRule="exact"/>
        <w:rPr>
          <w:rFonts w:ascii="Times New Roman" w:cs="Times New Roman" w:eastAsia="Times New Roman" w:hAnsi="Times New Roman"/>
          <w:sz w:val="20"/>
          <w:szCs w:val="20"/>
          <w:color w:val="auto"/>
        </w:rPr>
      </w:pPr>
    </w:p>
    <w:p>
      <w:pPr>
        <w:ind w:left="1300" w:hanging="320"/>
        <w:spacing w:after="0" w:line="283" w:lineRule="auto"/>
        <w:tabs>
          <w:tab w:leader="none" w:pos="1289"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September 30, 2026, People Inc. had a weighted average maturity of 5.0 years and weighted average borrowing cost of 7.0%.</w:t>
      </w:r>
    </w:p>
    <w:p>
      <w:pPr>
        <w:spacing w:after="0" w:line="146" w:lineRule="exact"/>
        <w:rPr>
          <w:rFonts w:ascii="Times New Roman" w:cs="Times New Roman" w:eastAsia="Times New Roman" w:hAnsi="Times New Roman"/>
          <w:sz w:val="20"/>
          <w:szCs w:val="20"/>
          <w:color w:val="auto"/>
        </w:rPr>
      </w:pPr>
    </w:p>
    <w:p>
      <w:pPr>
        <w:ind w:left="1300" w:hanging="320"/>
        <w:spacing w:after="0" w:line="283" w:lineRule="auto"/>
        <w:tabs>
          <w:tab w:leader="none" w:pos="1289"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September 30, 2026, People Inc.’s net consolidated leverage ratio defined in its credit agreement remained below 4.0x, providing People Inc. and the Company with increased financial flexibility.</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Company owned 66.8 million shares of MGM.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On June 16, 2026, the Company’s Board of Directors approved an authorization for the Company to repurchase an additional 10 million shares of the Company’s Common Stock. As of October 30, 2026, the Company had 12.5 million shares remaining under its share repurchase authorization.</w:t>
      </w:r>
    </w:p>
    <w:p>
      <w:pPr>
        <w:spacing w:after="0" w:line="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Share repurchases may be made over an indefinite period of time in the open market and in privately negotiated transactions, depending on those factors management deems relevant at any particular time, including, without limitation, market conditions, price and future outlook.</w:t>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00" w:type="dxa"/>
            <w:vAlign w:val="bottom"/>
          </w:tcPr>
          <w:p>
            <w:pPr>
              <w:jc w:val="right"/>
              <w:ind w:right="622"/>
              <w:spacing w:after="0"/>
              <w:rPr>
                <w:sz w:val="20"/>
                <w:szCs w:val="20"/>
                <w:color w:val="auto"/>
              </w:rPr>
            </w:pPr>
            <w:r>
              <w:rPr>
                <w:rFonts w:ascii="Times New Roman" w:cs="Times New Roman" w:eastAsia="Times New Roman" w:hAnsi="Times New Roman"/>
                <w:sz w:val="18"/>
                <w:szCs w:val="18"/>
                <w:color w:val="auto"/>
              </w:rPr>
              <w:t>Page 10 of 22</w:t>
            </w:r>
          </w:p>
        </w:tc>
      </w:tr>
      <w:tr>
        <w:trPr>
          <w:trHeight w:val="78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OPERATING METRICS</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6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i w:val="1"/>
                <w:iCs w:val="1"/>
                <w:color w:val="auto"/>
              </w:rPr>
              <w:t>($ in millions; rounding differences may occur)</w:t>
            </w:r>
          </w:p>
        </w:tc>
        <w:tc>
          <w:tcPr>
            <w:tcW w:w="14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1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74"/>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100" w:type="dxa"/>
            <w:vAlign w:val="bottom"/>
          </w:tcPr>
          <w:p>
            <w:pPr>
              <w:spacing w:after="0"/>
              <w:rPr>
                <w:sz w:val="6"/>
                <w:szCs w:val="6"/>
                <w:color w:val="auto"/>
              </w:rPr>
            </w:pPr>
          </w:p>
        </w:tc>
      </w:tr>
      <w:tr>
        <w:trPr>
          <w:trHeight w:val="237"/>
        </w:trPr>
        <w:tc>
          <w:tcPr>
            <w:tcW w:w="2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People Inc.</w:t>
            </w:r>
          </w:p>
        </w:tc>
        <w:tc>
          <w:tcPr>
            <w:tcW w:w="18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Revenue</w:t>
            </w:r>
          </w:p>
        </w:tc>
        <w:tc>
          <w:tcPr>
            <w:tcW w:w="2540" w:type="dxa"/>
            <w:vAlign w:val="bottom"/>
            <w:tcBorders>
              <w:top w:val="single" w:sz="8" w:color="CCEEFF"/>
            </w:tcBorders>
            <w:gridSpan w:val="2"/>
          </w:tcPr>
          <w:p>
            <w:pPr>
              <w:spacing w:after="0"/>
              <w:rPr>
                <w:sz w:val="22"/>
                <w:szCs w:val="22"/>
                <w:color w:val="auto"/>
              </w:rPr>
            </w:pPr>
          </w:p>
        </w:tc>
        <w:tc>
          <w:tcPr>
            <w:tcW w:w="1860" w:type="dxa"/>
            <w:vAlign w:val="bottom"/>
            <w:tcBorders>
              <w:top w:val="single" w:sz="8" w:color="CCEEFF"/>
            </w:tcBorders>
          </w:tcPr>
          <w:p>
            <w:pPr>
              <w:spacing w:after="0"/>
              <w:rPr>
                <w:sz w:val="22"/>
                <w:szCs w:val="22"/>
                <w:color w:val="auto"/>
              </w:rPr>
            </w:pPr>
          </w:p>
        </w:tc>
        <w:tc>
          <w:tcPr>
            <w:tcW w:w="130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r>
      <w:tr>
        <w:trPr>
          <w:trHeight w:val="257"/>
        </w:trPr>
        <w:tc>
          <w:tcPr>
            <w:tcW w:w="20" w:type="dxa"/>
            <w:vAlign w:val="bottom"/>
            <w:shd w:val="clear" w:color="auto" w:fill="CCEEFF"/>
          </w:tcPr>
          <w:p>
            <w:pPr>
              <w:spacing w:after="0"/>
              <w:rPr>
                <w:sz w:val="22"/>
                <w:szCs w:val="22"/>
                <w:color w:val="auto"/>
              </w:rPr>
            </w:pPr>
          </w:p>
        </w:tc>
        <w:tc>
          <w:tcPr>
            <w:tcW w:w="3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Advertising revenue</w:t>
            </w:r>
          </w:p>
        </w:tc>
        <w:tc>
          <w:tcPr>
            <w:tcW w:w="3160" w:type="dxa"/>
            <w:vAlign w:val="bottom"/>
            <w:gridSpan w:val="2"/>
            <w:shd w:val="clear" w:color="auto" w:fill="CCEEFF"/>
          </w:tcPr>
          <w:p>
            <w:pPr>
              <w:jc w:val="right"/>
              <w:ind w:right="108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7"/>
              </w:rPr>
              <w:t>161.9</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-8 %</w:t>
            </w:r>
          </w:p>
        </w:tc>
      </w:tr>
      <w:tr>
        <w:trPr>
          <w:trHeight w:val="256"/>
        </w:trPr>
        <w:tc>
          <w:tcPr>
            <w:tcW w:w="20" w:type="dxa"/>
            <w:vAlign w:val="bottom"/>
          </w:tcPr>
          <w:p>
            <w:pPr>
              <w:spacing w:after="0"/>
              <w:rPr>
                <w:sz w:val="22"/>
                <w:szCs w:val="22"/>
                <w:color w:val="auto"/>
              </w:rPr>
            </w:pPr>
          </w:p>
        </w:tc>
        <w:tc>
          <w:tcPr>
            <w:tcW w:w="348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Performance marketing revenue</w:t>
            </w:r>
          </w:p>
        </w:tc>
        <w:tc>
          <w:tcPr>
            <w:tcW w:w="1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73.9</w:t>
            </w:r>
          </w:p>
        </w:tc>
        <w:tc>
          <w:tcPr>
            <w:tcW w:w="4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257"/>
        </w:trPr>
        <w:tc>
          <w:tcPr>
            <w:tcW w:w="20" w:type="dxa"/>
            <w:vAlign w:val="bottom"/>
            <w:shd w:val="clear" w:color="auto" w:fill="CCEEFF"/>
          </w:tcPr>
          <w:p>
            <w:pPr>
              <w:spacing w:after="0"/>
              <w:rPr>
                <w:sz w:val="22"/>
                <w:szCs w:val="22"/>
                <w:color w:val="auto"/>
              </w:rPr>
            </w:pPr>
          </w:p>
        </w:tc>
        <w:tc>
          <w:tcPr>
            <w:tcW w:w="3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Licensing and other revenue</w:t>
            </w:r>
          </w:p>
        </w:tc>
        <w:tc>
          <w:tcPr>
            <w:tcW w:w="186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52.7</w:t>
            </w:r>
          </w:p>
        </w:tc>
        <w:tc>
          <w:tcPr>
            <w:tcW w:w="4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r>
      <w:tr>
        <w:trPr>
          <w:trHeight w:val="250"/>
        </w:trPr>
        <w:tc>
          <w:tcPr>
            <w:tcW w:w="20" w:type="dxa"/>
            <w:vAlign w:val="bottom"/>
          </w:tcPr>
          <w:p>
            <w:pPr>
              <w:spacing w:after="0"/>
              <w:rPr>
                <w:sz w:val="21"/>
                <w:szCs w:val="21"/>
                <w:color w:val="auto"/>
              </w:rPr>
            </w:pPr>
          </w:p>
        </w:tc>
        <w:tc>
          <w:tcPr>
            <w:tcW w:w="348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Total Digital Revenue</w:t>
            </w:r>
          </w:p>
        </w:tc>
        <w:tc>
          <w:tcPr>
            <w:tcW w:w="1860" w:type="dxa"/>
            <w:vAlign w:val="bottom"/>
          </w:tcPr>
          <w:p>
            <w:pPr>
              <w:spacing w:after="0"/>
              <w:rPr>
                <w:sz w:val="21"/>
                <w:szCs w:val="21"/>
                <w:color w:val="auto"/>
              </w:rPr>
            </w:pPr>
          </w:p>
        </w:tc>
        <w:tc>
          <w:tcPr>
            <w:tcW w:w="1300" w:type="dxa"/>
            <w:vAlign w:val="bottom"/>
          </w:tcPr>
          <w:p>
            <w:pPr>
              <w:jc w:val="right"/>
              <w:ind w:right="1083"/>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7"/>
              </w:rPr>
              <w:t>288.5</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283.2</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257"/>
        </w:trPr>
        <w:tc>
          <w:tcPr>
            <w:tcW w:w="20" w:type="dxa"/>
            <w:vAlign w:val="bottom"/>
            <w:shd w:val="clear" w:color="auto" w:fill="CCEEFF"/>
          </w:tcPr>
          <w:p>
            <w:pPr>
              <w:spacing w:after="0"/>
              <w:rPr>
                <w:sz w:val="22"/>
                <w:szCs w:val="22"/>
                <w:color w:val="auto"/>
              </w:rPr>
            </w:pPr>
          </w:p>
        </w:tc>
        <w:tc>
          <w:tcPr>
            <w:tcW w:w="3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Print Revenue</w:t>
            </w:r>
          </w:p>
        </w:tc>
        <w:tc>
          <w:tcPr>
            <w:tcW w:w="18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7"/>
              </w:rPr>
              <w:t>127.6</w:t>
            </w:r>
          </w:p>
        </w:tc>
        <w:tc>
          <w:tcPr>
            <w:tcW w:w="4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57"/>
        </w:trPr>
        <w:tc>
          <w:tcPr>
            <w:tcW w:w="20" w:type="dxa"/>
            <w:vAlign w:val="bottom"/>
            <w:tcBorders>
              <w:bottom w:val="single" w:sz="8" w:color="CCEEFF"/>
            </w:tcBorders>
          </w:tcPr>
          <w:p>
            <w:pPr>
              <w:spacing w:after="0"/>
              <w:rPr>
                <w:sz w:val="22"/>
                <w:szCs w:val="22"/>
                <w:color w:val="auto"/>
              </w:rPr>
            </w:pPr>
          </w:p>
        </w:tc>
        <w:tc>
          <w:tcPr>
            <w:tcW w:w="34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20"/>
                <w:szCs w:val="20"/>
                <w:color w:val="auto"/>
              </w:rPr>
              <w:t>Intersegment eliminations</w:t>
            </w:r>
          </w:p>
        </w:tc>
        <w:tc>
          <w:tcPr>
            <w:tcW w:w="186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-6 %</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Revenue</w:t>
            </w:r>
          </w:p>
        </w:tc>
        <w:tc>
          <w:tcPr>
            <w:tcW w:w="1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7"/>
              </w:rPr>
              <w:t>409.9</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429.8</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7"/>
        </w:trPr>
        <w:tc>
          <w:tcPr>
            <w:tcW w:w="20" w:type="dxa"/>
            <w:vAlign w:val="bottom"/>
            <w:shd w:val="clear" w:color="auto" w:fill="CCEEFF"/>
          </w:tcPr>
          <w:p>
            <w:pPr>
              <w:spacing w:after="0"/>
              <w:rPr>
                <w:sz w:val="22"/>
                <w:szCs w:val="22"/>
                <w:color w:val="auto"/>
              </w:rPr>
            </w:pPr>
          </w:p>
        </w:tc>
        <w:tc>
          <w:tcPr>
            <w:tcW w:w="3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Digital Session-based Revenue</w:t>
            </w:r>
          </w:p>
        </w:tc>
        <w:tc>
          <w:tcPr>
            <w:tcW w:w="3160" w:type="dxa"/>
            <w:vAlign w:val="bottom"/>
            <w:gridSpan w:val="2"/>
            <w:shd w:val="clear" w:color="auto" w:fill="CCEEFF"/>
          </w:tcPr>
          <w:p>
            <w:pPr>
              <w:jc w:val="right"/>
              <w:ind w:right="108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7"/>
              </w:rPr>
              <w:t>163.6</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174.2</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-6 %</w:t>
            </w:r>
          </w:p>
        </w:tc>
      </w:tr>
      <w:tr>
        <w:trPr>
          <w:trHeight w:val="256"/>
        </w:trPr>
        <w:tc>
          <w:tcPr>
            <w:tcW w:w="20" w:type="dxa"/>
            <w:vAlign w:val="bottom"/>
            <w:tcBorders>
              <w:bottom w:val="single" w:sz="8" w:color="CCEEFF"/>
            </w:tcBorders>
          </w:tcPr>
          <w:p>
            <w:pPr>
              <w:spacing w:after="0"/>
              <w:rPr>
                <w:sz w:val="22"/>
                <w:szCs w:val="22"/>
                <w:color w:val="auto"/>
              </w:rPr>
            </w:pPr>
          </w:p>
        </w:tc>
        <w:tc>
          <w:tcPr>
            <w:tcW w:w="34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20"/>
                <w:szCs w:val="20"/>
                <w:color w:val="auto"/>
              </w:rPr>
              <w:t>Digital Non-session-based Revenue</w:t>
            </w:r>
          </w:p>
        </w:tc>
        <w:tc>
          <w:tcPr>
            <w:tcW w:w="186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7"/>
              </w:rPr>
              <w:t>125.0</w:t>
            </w: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15 %</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Digital Revenue</w:t>
            </w:r>
          </w:p>
        </w:tc>
        <w:tc>
          <w:tcPr>
            <w:tcW w:w="1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7"/>
              </w:rPr>
              <w:t>288.5</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283.2</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6"/>
        </w:trPr>
        <w:tc>
          <w:tcPr>
            <w:tcW w:w="20" w:type="dxa"/>
            <w:vAlign w:val="bottom"/>
            <w:shd w:val="clear" w:color="auto" w:fill="CCEEFF"/>
          </w:tcPr>
          <w:p>
            <w:pPr>
              <w:spacing w:after="0"/>
              <w:rPr>
                <w:sz w:val="22"/>
                <w:szCs w:val="22"/>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i w:val="1"/>
                <w:iCs w:val="1"/>
                <w:color w:val="auto"/>
              </w:rPr>
              <w:t>Digital metrics</w:t>
            </w:r>
          </w:p>
        </w:tc>
        <w:tc>
          <w:tcPr>
            <w:tcW w:w="18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48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Total Sessions (in millions)</w:t>
            </w:r>
          </w:p>
        </w:tc>
        <w:tc>
          <w:tcPr>
            <w:tcW w:w="1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7"/>
              </w:rPr>
              <w:t>1,794</w:t>
            </w:r>
          </w:p>
        </w:tc>
        <w:tc>
          <w:tcPr>
            <w:tcW w:w="4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2,377</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257"/>
        </w:trPr>
        <w:tc>
          <w:tcPr>
            <w:tcW w:w="20" w:type="dxa"/>
            <w:vAlign w:val="bottom"/>
            <w:shd w:val="clear" w:color="auto" w:fill="CCEEFF"/>
          </w:tcPr>
          <w:p>
            <w:pPr>
              <w:spacing w:after="0"/>
              <w:rPr>
                <w:sz w:val="22"/>
                <w:szCs w:val="22"/>
                <w:color w:val="auto"/>
              </w:rPr>
            </w:pPr>
          </w:p>
        </w:tc>
        <w:tc>
          <w:tcPr>
            <w:tcW w:w="3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Core Sessions (in millions)</w:t>
            </w:r>
          </w:p>
        </w:tc>
        <w:tc>
          <w:tcPr>
            <w:tcW w:w="18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7"/>
              </w:rPr>
              <w:t>1,613</w:t>
            </w:r>
          </w:p>
        </w:tc>
        <w:tc>
          <w:tcPr>
            <w:tcW w:w="4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2,168</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-26 %</w:t>
            </w:r>
          </w:p>
        </w:tc>
      </w:tr>
      <w:tr>
        <w:trPr>
          <w:trHeight w:val="270"/>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auto"/>
                <w:w w:val="98"/>
              </w:rPr>
              <w:t>Emerging &amp; Other</w:t>
            </w:r>
          </w:p>
        </w:tc>
        <w:tc>
          <w:tcPr>
            <w:tcW w:w="18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48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Vivian Health Revenue</w:t>
            </w:r>
          </w:p>
        </w:tc>
        <w:tc>
          <w:tcPr>
            <w:tcW w:w="3160" w:type="dxa"/>
            <w:vAlign w:val="bottom"/>
            <w:gridSpan w:val="2"/>
          </w:tcPr>
          <w:p>
            <w:pPr>
              <w:jc w:val="right"/>
              <w:ind w:right="1083"/>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12.3</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256"/>
        </w:trPr>
        <w:tc>
          <w:tcPr>
            <w:tcW w:w="20" w:type="dxa"/>
            <w:vAlign w:val="bottom"/>
            <w:shd w:val="clear" w:color="auto" w:fill="CCEEFF"/>
          </w:tcPr>
          <w:p>
            <w:pPr>
              <w:spacing w:after="0"/>
              <w:rPr>
                <w:sz w:val="22"/>
                <w:szCs w:val="22"/>
                <w:color w:val="auto"/>
              </w:rPr>
            </w:pPr>
          </w:p>
        </w:tc>
        <w:tc>
          <w:tcPr>
            <w:tcW w:w="3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The Daily Beast Revenue</w:t>
            </w:r>
          </w:p>
        </w:tc>
        <w:tc>
          <w:tcPr>
            <w:tcW w:w="18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8.0</w:t>
            </w:r>
          </w:p>
        </w:tc>
        <w:tc>
          <w:tcPr>
            <w:tcW w:w="4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39 %</w:t>
            </w:r>
          </w:p>
        </w:tc>
      </w:tr>
    </w:tbl>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xml:space="preserve">See metric definitions on page </w:t>
      </w:r>
      <w:r>
        <w:rPr>
          <w:rFonts w:ascii="Times New Roman" w:cs="Times New Roman" w:eastAsia="Times New Roman" w:hAnsi="Times New Roman"/>
          <w:sz w:val="14"/>
          <w:szCs w:val="14"/>
          <w:i w:val="1"/>
          <w:iCs w:val="1"/>
          <w:u w:val="single" w:color="auto"/>
          <w:color w:val="0000FF"/>
        </w:rPr>
        <w:t>21</w:t>
      </w:r>
    </w:p>
    <w:p>
      <w:pPr>
        <w:sectPr>
          <w:pgSz w:w="11900" w:h="16838" w:orient="portrait"/>
          <w:cols w:equalWidth="0" w:num="1">
            <w:col w:w="11240"/>
          </w:cols>
          <w:pgMar w:left="320" w:top="121" w:right="339" w:bottom="1440" w:gutter="0" w:footer="0" w:header="0"/>
        </w:sectPr>
      </w:pPr>
    </w:p>
    <w:bookmarkStart w:id="14" w:name="page15"/>
    <w:bookmarkEnd w:id="14"/>
    <w:p>
      <w:pPr>
        <w:ind w:left="9520"/>
        <w:spacing w:after="0"/>
        <w:rPr>
          <w:sz w:val="20"/>
          <w:szCs w:val="20"/>
          <w:color w:val="auto"/>
        </w:rPr>
      </w:pPr>
      <w:r>
        <w:rPr>
          <w:rFonts w:ascii="Times New Roman" w:cs="Times New Roman" w:eastAsia="Times New Roman" w:hAnsi="Times New Roman"/>
          <w:sz w:val="18"/>
          <w:szCs w:val="18"/>
          <w:color w:val="auto"/>
        </w:rPr>
        <w:t>Page 11 of 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DILUTIVE SECURITIES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People Incorporated has various dilutive securities. The table below details these securities as well as potential dilution at various stock prices (shares in millions; rounding differences may occur).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Avg Exercise</w:t>
            </w:r>
          </w:p>
        </w:tc>
        <w:tc>
          <w:tcPr>
            <w:tcW w:w="10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As of 10/30/26</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Dilution at:</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332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Price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35.62</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40.00</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45.00</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55.00</w:t>
            </w: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Absolute Shares as of 10/30/26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75.0</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Dilution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Dilution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Diluted Shares Outstanding</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75.9</w:t>
            </w: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dilutive securities presentation is calculated using the methods and assumptions described below, which are different from those used for GAAP dilution, which is calculated based on the treasury stock method.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settles all equity awards on a net basis; therefore, the dilutive effect is presented as the net number of shares expected to be issued upon vesting or exercise, and in the case of options, assuming no proceeds are received by the Company. Any required withholding taxes are paid in cash by the Company on behalf of the employees. In addition, the estimated income tax benefit from the tax deduction received upon the vesting or exercise of these awards is assumed to be used to repurchase People Incorporated shares. Assuming all awards were exercised or vested on October 30, 2026, withholding taxes payable by the Company on behalf of the employees upon net settlement would have been $32.4 million (of which approximately 55% would be payable for awards currently vested and those vesting on or before October 30, 2027), assuming a stock price of $35.62 and a 50% withholding rate.</w:t>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4"/>
          </w:tcPr>
          <w:p>
            <w:pPr>
              <w:jc w:val="right"/>
              <w:ind w:right="648"/>
              <w:spacing w:after="0"/>
              <w:rPr>
                <w:sz w:val="20"/>
                <w:szCs w:val="20"/>
                <w:color w:val="auto"/>
              </w:rPr>
            </w:pPr>
            <w:r>
              <w:rPr>
                <w:rFonts w:ascii="Times New Roman" w:cs="Times New Roman" w:eastAsia="Times New Roman" w:hAnsi="Times New Roman"/>
                <w:sz w:val="18"/>
                <w:szCs w:val="18"/>
                <w:color w:val="auto"/>
              </w:rPr>
              <w:t>Page 12 of 22</w:t>
            </w:r>
          </w:p>
        </w:tc>
      </w:tr>
      <w:tr>
        <w:trPr>
          <w:trHeight w:val="789"/>
        </w:trPr>
        <w:tc>
          <w:tcPr>
            <w:tcW w:w="4100" w:type="dxa"/>
            <w:vAlign w:val="bottom"/>
          </w:tcPr>
          <w:p>
            <w:pPr>
              <w:spacing w:after="0"/>
              <w:rPr>
                <w:sz w:val="24"/>
                <w:szCs w:val="24"/>
                <w:color w:val="auto"/>
              </w:rPr>
            </w:pPr>
          </w:p>
        </w:tc>
        <w:tc>
          <w:tcPr>
            <w:tcW w:w="3140" w:type="dxa"/>
            <w:vAlign w:val="bottom"/>
            <w:gridSpan w:val="5"/>
          </w:tcPr>
          <w:p>
            <w:pPr>
              <w:jc w:val="right"/>
              <w:ind w:right="48"/>
              <w:spacing w:after="0"/>
              <w:rPr>
                <w:sz w:val="20"/>
                <w:szCs w:val="20"/>
                <w:color w:val="auto"/>
              </w:rPr>
            </w:pPr>
            <w:r>
              <w:rPr>
                <w:rFonts w:ascii="Times New Roman" w:cs="Times New Roman" w:eastAsia="Times New Roman" w:hAnsi="Times New Roman"/>
                <w:sz w:val="20"/>
                <w:szCs w:val="20"/>
                <w:b w:val="1"/>
                <w:bCs w:val="1"/>
                <w:i w:val="1"/>
                <w:iCs w:val="1"/>
                <w:color w:val="auto"/>
                <w:w w:val="98"/>
              </w:rPr>
              <w:t>GAAP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7"/>
        </w:trPr>
        <w:tc>
          <w:tcPr>
            <w:tcW w:w="68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PEOPLE INCORPORATED CONSOLIDATED STATEMENT OF OPERATIONS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2"/>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in thousands except per share data)</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4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7"/>
                <w:szCs w:val="17"/>
                <w:color w:val="auto"/>
              </w:rPr>
            </w:pPr>
          </w:p>
        </w:tc>
        <w:tc>
          <w:tcPr>
            <w:tcW w:w="270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4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430,820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1,273,353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1,301,719</w:t>
            </w: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 (exclusive of depreciation shown separately below)</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488,769</w:t>
            </w: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118,827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385,470</w:t>
            </w: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246,019</w:t>
            </w: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development expense</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100,994</w:t>
            </w: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26,744</w:t>
            </w:r>
          </w:p>
        </w:tc>
      </w:tr>
      <w:tr>
        <w:trPr>
          <w:trHeight w:val="196"/>
        </w:trPr>
        <w:tc>
          <w:tcPr>
            <w:tcW w:w="4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1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67,357</w:t>
            </w:r>
          </w:p>
        </w:tc>
      </w:tr>
      <w:tr>
        <w:trPr>
          <w:trHeight w:val="203"/>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1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433,867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474,360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1,322,503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1,315,353</w:t>
            </w: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(13,634)</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(93,117)</w:t>
            </w: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gain on investment in MGM Resorts International</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(1,119,943)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(364,256)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185,770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210,400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w:t>
            </w: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continuing operations before income taxes</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(963,268)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(280,777)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(114,122)</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278,368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111,130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r>
      <w:tr>
        <w:trPr>
          <w:trHeight w:val="18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from continuing operations</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(110,607)</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the sale of Care.com, net of income taxes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earnings from discontinued operations, net of income taxes</w:t>
            </w:r>
          </w:p>
        </w:tc>
        <w:tc>
          <w:tcPr>
            <w:tcW w:w="1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84,935</w:t>
            </w: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(685,060)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(247,891)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(25,672)</w:t>
            </w:r>
          </w:p>
        </w:tc>
      </w:tr>
      <w:tr>
        <w:trPr>
          <w:trHeight w:val="196"/>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1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(1,560)</w:t>
            </w:r>
          </w:p>
        </w:tc>
      </w:tr>
      <w:tr>
        <w:trPr>
          <w:trHeight w:val="22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People Incorporated shareholders</w:t>
            </w:r>
          </w:p>
        </w:tc>
        <w:tc>
          <w:tcPr>
            <w:tcW w:w="1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(687,491)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(252,522)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information from continuing operations:</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loss per share</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loss per share</w:t>
            </w:r>
          </w:p>
        </w:tc>
        <w:tc>
          <w:tcPr>
            <w:tcW w:w="1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03"/>
        </w:trPr>
        <w:tc>
          <w:tcPr>
            <w:tcW w:w="5280" w:type="dxa"/>
            <w:vAlign w:val="bottom"/>
            <w:gridSpan w:val="2"/>
          </w:tcPr>
          <w:p>
            <w:pPr>
              <w:spacing w:after="0"/>
              <w:rPr>
                <w:sz w:val="17"/>
                <w:szCs w:val="17"/>
                <w:color w:val="auto"/>
              </w:rPr>
            </w:pPr>
          </w:p>
        </w:tc>
        <w:tc>
          <w:tcPr>
            <w:tcW w:w="142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2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information attributable to People Incorporated common stock and Class B common stock shareholders: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loss per share</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loss per share</w:t>
            </w:r>
          </w:p>
        </w:tc>
        <w:tc>
          <w:tcPr>
            <w:tcW w:w="1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r>
      <w:tr>
        <w:trPr>
          <w:trHeight w:val="203"/>
        </w:trPr>
        <w:tc>
          <w:tcPr>
            <w:tcW w:w="4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expense by function: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6,907</w:t>
            </w: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development expense</w:t>
            </w:r>
          </w:p>
        </w:tc>
        <w:tc>
          <w:tcPr>
            <w:tcW w:w="1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18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76,491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12,797</w:t>
            </w:r>
          </w:p>
        </w:tc>
      </w:tr>
      <w:tr>
        <w:trPr>
          <w:trHeight w:val="20"/>
        </w:trPr>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8"/>
                <w:szCs w:val="18"/>
                <w:color w:val="auto"/>
              </w:rPr>
              <w:t>Page 13 of 22</w:t>
            </w:r>
          </w:p>
        </w:tc>
      </w:tr>
      <w:tr>
        <w:trPr>
          <w:trHeight w:val="727"/>
        </w:trPr>
        <w:tc>
          <w:tcPr>
            <w:tcW w:w="7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PEOPLE INCORPORATED CONSOLIDATED BALANCE SHEET</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2"/>
        </w:trPr>
        <w:tc>
          <w:tcPr>
            <w:tcW w:w="7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in thousands except par value amounts)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2"/>
        </w:trPr>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8"/>
                <w:szCs w:val="18"/>
                <w:color w:val="auto"/>
              </w:rPr>
            </w:pPr>
          </w:p>
        </w:tc>
        <w:tc>
          <w:tcPr>
            <w:tcW w:w="18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42"/>
        </w:trPr>
        <w:tc>
          <w:tcPr>
            <w:tcW w:w="7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03"/>
        </w:trPr>
        <w:tc>
          <w:tcPr>
            <w:tcW w:w="714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1,318,784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941,311</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409,809</w:t>
            </w: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97,913</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95,716</w:t>
            </w:r>
          </w:p>
        </w:tc>
      </w:tr>
      <w:tr>
        <w:trPr>
          <w:trHeight w:val="189"/>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1,756,032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1,544,749</w:t>
            </w:r>
          </w:p>
        </w:tc>
      </w:tr>
      <w:tr>
        <w:trPr>
          <w:trHeight w:val="210"/>
        </w:trPr>
        <w:tc>
          <w:tcPr>
            <w:tcW w:w="7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land, equipment, leasehold improvements and capitalized software, net</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284,394</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1,507,959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1,508,030</w:t>
            </w: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394,381</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MGM Resorts International</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2,074,834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2,401,858</w:t>
            </w: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409,240</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222,870</w:t>
            </w: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24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429,395</w:t>
            </w:r>
          </w:p>
        </w:tc>
      </w:tr>
      <w:tr>
        <w:trPr>
          <w:trHeight w:val="221"/>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7,194,917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7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03"/>
        </w:trPr>
        <w:tc>
          <w:tcPr>
            <w:tcW w:w="71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trade</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29,859</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19,026</w:t>
            </w: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391,368</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96,114</w:t>
            </w:r>
          </w:p>
        </w:tc>
      </w:tr>
      <w:tr>
        <w:trPr>
          <w:trHeight w:val="189"/>
        </w:trPr>
        <w:tc>
          <w:tcPr>
            <w:tcW w:w="7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560,867</w:t>
            </w:r>
          </w:p>
        </w:tc>
      </w:tr>
      <w:tr>
        <w:trPr>
          <w:trHeight w:val="210"/>
        </w:trPr>
        <w:tc>
          <w:tcPr>
            <w:tcW w:w="7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1,384,664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1,401,324</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208,624</w:t>
            </w: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226,422</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w:t>
            </w:r>
          </w:p>
        </w:tc>
      </w:tr>
      <w:tr>
        <w:trPr>
          <w:trHeight w:val="203"/>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25,264</w:t>
            </w:r>
          </w:p>
        </w:tc>
      </w:tr>
      <w:tr>
        <w:trPr>
          <w:trHeight w:val="203"/>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$0.0001 par value</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6,004,397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5,959,692</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(895,522)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(643,000)</w:t>
            </w:r>
          </w:p>
        </w:tc>
      </w:tr>
      <w:tr>
        <w:trPr>
          <w:trHeight w:val="19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(11,842)</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(571,032)</w:t>
            </w:r>
          </w:p>
        </w:tc>
      </w:tr>
      <w:tr>
        <w:trPr>
          <w:trHeight w:val="189"/>
        </w:trPr>
        <w:tc>
          <w:tcPr>
            <w:tcW w:w="7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People Incorporated shareholders' equity</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4,391,109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4,733,827</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29,932</w:t>
            </w:r>
          </w:p>
        </w:tc>
      </w:tr>
      <w:tr>
        <w:trPr>
          <w:trHeight w:val="189"/>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4,435,947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4,763,759</w:t>
            </w:r>
          </w:p>
        </w:tc>
      </w:tr>
      <w:tr>
        <w:trPr>
          <w:trHeight w:val="22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6,561,724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7,194,917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ind w:left="9520"/>
        <w:spacing w:after="0"/>
        <w:rPr>
          <w:sz w:val="20"/>
          <w:szCs w:val="20"/>
          <w:color w:val="auto"/>
        </w:rPr>
      </w:pPr>
      <w:r>
        <w:rPr>
          <w:rFonts w:ascii="Times New Roman" w:cs="Times New Roman" w:eastAsia="Times New Roman" w:hAnsi="Times New Roman"/>
          <w:sz w:val="18"/>
          <w:szCs w:val="18"/>
          <w:color w:val="auto"/>
        </w:rPr>
        <w:t>Page 14 of 22</w:t>
      </w:r>
    </w:p>
    <w:p>
      <w:pPr>
        <w:spacing w:after="0" w:line="200" w:lineRule="exact"/>
        <w:rPr>
          <w:sz w:val="20"/>
          <w:szCs w:val="20"/>
          <w:color w:val="auto"/>
        </w:rPr>
      </w:pPr>
    </w:p>
    <w:p>
      <w:pPr>
        <w:spacing w:after="0" w:line="365" w:lineRule="exact"/>
        <w:rPr>
          <w:sz w:val="20"/>
          <w:szCs w:val="20"/>
          <w:color w:val="auto"/>
        </w:rPr>
      </w:pPr>
    </w:p>
    <w:p>
      <w:pPr>
        <w:ind w:right="5460"/>
        <w:spacing w:after="0" w:line="275" w:lineRule="auto"/>
        <w:rPr>
          <w:sz w:val="20"/>
          <w:szCs w:val="20"/>
          <w:color w:val="auto"/>
        </w:rPr>
      </w:pPr>
      <w:r>
        <w:rPr>
          <w:rFonts w:ascii="Times New Roman" w:cs="Times New Roman" w:eastAsia="Times New Roman" w:hAnsi="Times New Roman"/>
          <w:sz w:val="16"/>
          <w:szCs w:val="16"/>
          <w:b w:val="1"/>
          <w:bCs w:val="1"/>
          <w:color w:val="auto"/>
        </w:rPr>
        <w:t>PEOPLE INCORPORATED CONSOLIDATED STATEMENT OF CASH FLOWS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0"/>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 attributable to continuing operations: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(247,891)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(25,672)</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Loss on the sale of Care.com, net of income taxes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Earnings from discontinued operations, net of income taxes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84,935</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continuing operations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(110,607)</w:t>
            </w:r>
          </w:p>
        </w:tc>
        <w:tc>
          <w:tcPr>
            <w:tcW w:w="0" w:type="dxa"/>
            <w:vAlign w:val="bottom"/>
          </w:tcPr>
          <w:p>
            <w:pPr>
              <w:spacing w:after="0"/>
              <w:rPr>
                <w:sz w:val="1"/>
                <w:szCs w:val="1"/>
                <w:color w:val="auto"/>
              </w:rPr>
            </w:pPr>
          </w:p>
        </w:tc>
      </w:tr>
      <w:tr>
        <w:trPr>
          <w:trHeight w:val="135"/>
        </w:trPr>
        <w:tc>
          <w:tcPr>
            <w:tcW w:w="84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Adjustments to reconcile net loss attributable to continuing operations to net cash provided by operating activities attributable to continuing</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(gain) on investment in MGM Resorts International</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67,357</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expense (including right-of-use asset impairments)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25,472</w:t>
            </w:r>
          </w:p>
        </w:tc>
        <w:tc>
          <w:tcPr>
            <w:tcW w:w="0" w:type="dxa"/>
            <w:vAlign w:val="bottom"/>
          </w:tcPr>
          <w:p>
            <w:pPr>
              <w:spacing w:after="0"/>
              <w:rPr>
                <w:sz w:val="1"/>
                <w:szCs w:val="1"/>
                <w:color w:val="auto"/>
              </w:rPr>
            </w:pPr>
          </w:p>
        </w:tc>
      </w:tr>
      <w:tr>
        <w:trPr>
          <w:trHeight w:val="135"/>
        </w:trPr>
        <w:tc>
          <w:tcPr>
            <w:tcW w:w="844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Net (gains) losses on sales of investments and businesses and downward adjustments to the carrying value of equity securities without readily</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(170,375)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18,845</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determinable fair values</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(6,567)</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sale of an unutilized domain name</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related to the allocation of a disputed gain on a real estate transaction</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32,600</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gains on amendments and early terminations of lease agreements</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adjustments,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w:t>
            </w:r>
          </w:p>
        </w:tc>
        <w:tc>
          <w:tcPr>
            <w:tcW w:w="0" w:type="dxa"/>
            <w:vAlign w:val="bottom"/>
          </w:tcPr>
          <w:p>
            <w:pPr>
              <w:spacing w:after="0"/>
              <w:rPr>
                <w:sz w:val="1"/>
                <w:szCs w:val="1"/>
                <w:color w:val="auto"/>
              </w:rPr>
            </w:pPr>
          </w:p>
        </w:tc>
      </w:tr>
      <w:tr>
        <w:trPr>
          <w:trHeight w:val="195"/>
        </w:trPr>
        <w:tc>
          <w:tcPr>
            <w:tcW w:w="8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assets and liabilities, net of effects of dispositions: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50,406</w:t>
            </w:r>
          </w:p>
        </w:tc>
        <w:tc>
          <w:tcPr>
            <w:tcW w:w="0" w:type="dxa"/>
            <w:vAlign w:val="bottom"/>
          </w:tcPr>
          <w:p>
            <w:pPr>
              <w:spacing w:after="0"/>
              <w:rPr>
                <w:sz w:val="1"/>
                <w:szCs w:val="1"/>
                <w:color w:val="auto"/>
              </w:rPr>
            </w:pPr>
          </w:p>
        </w:tc>
      </w:tr>
      <w:tr>
        <w:trPr>
          <w:trHeight w:val="195"/>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(77,804)</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 and receivable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attributable to continuing operations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 attributable to continuing operations: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(12,633)</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proceeds from the sale of Care.com</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of MGM Resorts International common shares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Allocation of Angi Inc.'s cash in the Distribution</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(386,563)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the sale of an unutilized domain name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proceeds from the sales of investments and businesses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the sale of a portion of the retirement investment fund</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11,948</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7,474</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 attributable to continuing operations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434,152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(369,918)</w:t>
            </w:r>
          </w:p>
        </w:tc>
        <w:tc>
          <w:tcPr>
            <w:tcW w:w="0" w:type="dxa"/>
            <w:vAlign w:val="bottom"/>
          </w:tcPr>
          <w:p>
            <w:pPr>
              <w:spacing w:after="0"/>
              <w:rPr>
                <w:sz w:val="1"/>
                <w:szCs w:val="1"/>
                <w:color w:val="auto"/>
              </w:rPr>
            </w:pP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 attributable to continuing operations: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on the Term Loans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(1,430,148)</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proceeds from the Term Loans refinancing</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991,451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the issuance of the 2032 Notes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issuance and deferred financing costs</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Withholding taxes paid on behalf of employees on net settled stock-based awards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(67,053)</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from Angi Inc. pursuant to the tax sharing agreement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 attributable to continuing operations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(419,059)</w:t>
            </w:r>
          </w:p>
        </w:tc>
        <w:tc>
          <w:tcPr>
            <w:tcW w:w="0" w:type="dxa"/>
            <w:vAlign w:val="bottom"/>
          </w:tcPr>
          <w:p>
            <w:pPr>
              <w:spacing w:after="0"/>
              <w:rPr>
                <w:sz w:val="1"/>
                <w:szCs w:val="1"/>
                <w:color w:val="auto"/>
              </w:rPr>
            </w:pPr>
          </w:p>
        </w:tc>
      </w:tr>
      <w:tr>
        <w:trPr>
          <w:trHeight w:val="18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cash provided by (used in) continuing operations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(788,889)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provided by operating activities attributable to discontinued operations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24,611</w:t>
            </w:r>
          </w:p>
        </w:tc>
        <w:tc>
          <w:tcPr>
            <w:tcW w:w="0" w:type="dxa"/>
            <w:vAlign w:val="bottom"/>
          </w:tcPr>
          <w:p>
            <w:pPr>
              <w:spacing w:after="0"/>
              <w:rPr>
                <w:sz w:val="1"/>
                <w:szCs w:val="1"/>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used in investing activities attributable to discontinued operations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 attributable to discontinued operations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(14,417)</w:t>
            </w:r>
          </w:p>
        </w:tc>
        <w:tc>
          <w:tcPr>
            <w:tcW w:w="0" w:type="dxa"/>
            <w:vAlign w:val="bottom"/>
          </w:tcPr>
          <w:p>
            <w:pPr>
              <w:spacing w:after="0"/>
              <w:rPr>
                <w:sz w:val="1"/>
                <w:szCs w:val="1"/>
                <w:color w:val="auto"/>
              </w:rPr>
            </w:pPr>
          </w:p>
        </w:tc>
      </w:tr>
      <w:tr>
        <w:trPr>
          <w:trHeight w:val="18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cash used in discontinued operations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 and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8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 and restricted cash</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(791,787)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1,807,255</w:t>
            </w:r>
          </w:p>
        </w:tc>
        <w:tc>
          <w:tcPr>
            <w:tcW w:w="0" w:type="dxa"/>
            <w:vAlign w:val="bottom"/>
          </w:tcPr>
          <w:p>
            <w:pPr>
              <w:spacing w:after="0"/>
              <w:rPr>
                <w:sz w:val="1"/>
                <w:szCs w:val="1"/>
                <w:color w:val="auto"/>
              </w:rPr>
            </w:pPr>
          </w:p>
        </w:tc>
      </w:tr>
      <w:tr>
        <w:trPr>
          <w:trHeight w:val="189"/>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at end of period</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1,326,560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1,015,468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ind w:left="9520"/>
        <w:spacing w:after="0"/>
        <w:rPr>
          <w:sz w:val="20"/>
          <w:szCs w:val="20"/>
          <w:color w:val="auto"/>
        </w:rPr>
      </w:pPr>
      <w:r>
        <w:rPr>
          <w:rFonts w:ascii="Times New Roman" w:cs="Times New Roman" w:eastAsia="Times New Roman" w:hAnsi="Times New Roman"/>
          <w:sz w:val="18"/>
          <w:szCs w:val="18"/>
          <w:color w:val="auto"/>
        </w:rPr>
        <w:t>Page 15 of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FULL YEAR 2026 OUTLOOK</w:t>
      </w:r>
    </w:p>
    <w:p>
      <w:pPr>
        <w:spacing w:after="0" w:line="2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Please find below our full year 2026 outlook. People Incorporated builds businesses and creates shareholder value with a long-term perspective. As stewards of shareholder capital, we do not manage our businesses or optimize results on a quarterly basis and have long believed full year performance is the best indicator of progress along the path toward value creation. Our outlook reflects management’s current expectations and is subject to risks and uncertainties. Actual results may differ materially, and our expectations may not materialize as anticipated.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that caution in mind, here’s our current full year 2026 outlook:</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1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FY 2026 Outlook</w:t>
            </w:r>
          </w:p>
        </w:tc>
        <w:tc>
          <w:tcPr>
            <w:tcW w:w="0" w:type="dxa"/>
            <w:vAlign w:val="bottom"/>
          </w:tcPr>
          <w:p>
            <w:pPr>
              <w:spacing w:after="0"/>
              <w:rPr>
                <w:sz w:val="1"/>
                <w:szCs w:val="1"/>
                <w:color w:val="auto"/>
              </w:rPr>
            </w:pPr>
          </w:p>
        </w:tc>
      </w:tr>
      <w:tr>
        <w:trPr>
          <w:trHeight w:val="38"/>
        </w:trPr>
        <w:tc>
          <w:tcPr>
            <w:tcW w:w="91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People Inc.</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$330-$345</w:t>
            </w:r>
          </w:p>
        </w:tc>
        <w:tc>
          <w:tcPr>
            <w:tcW w:w="0" w:type="dxa"/>
            <w:vAlign w:val="bottom"/>
          </w:tcPr>
          <w:p>
            <w:pPr>
              <w:spacing w:after="0"/>
              <w:rPr>
                <w:sz w:val="1"/>
                <w:szCs w:val="1"/>
                <w:color w:val="auto"/>
              </w:rPr>
            </w:pPr>
          </w:p>
        </w:tc>
      </w:tr>
      <w:tr>
        <w:trPr>
          <w:trHeight w:val="211"/>
        </w:trPr>
        <w:tc>
          <w:tcPr>
            <w:tcW w:w="910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Emerging &amp; Other</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13-15</w:t>
            </w:r>
          </w:p>
        </w:tc>
        <w:tc>
          <w:tcPr>
            <w:tcW w:w="0" w:type="dxa"/>
            <w:vAlign w:val="bottom"/>
          </w:tcPr>
          <w:p>
            <w:pPr>
              <w:spacing w:after="0"/>
              <w:rPr>
                <w:sz w:val="1"/>
                <w:szCs w:val="1"/>
                <w:color w:val="auto"/>
              </w:rPr>
            </w:pPr>
          </w:p>
        </w:tc>
      </w:tr>
      <w:tr>
        <w:trPr>
          <w:trHeight w:val="230"/>
        </w:trPr>
        <w:tc>
          <w:tcPr>
            <w:tcW w:w="9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(80-77)</w:t>
            </w:r>
          </w:p>
        </w:tc>
        <w:tc>
          <w:tcPr>
            <w:tcW w:w="0" w:type="dxa"/>
            <w:vAlign w:val="bottom"/>
          </w:tcPr>
          <w:p>
            <w:pPr>
              <w:spacing w:after="0"/>
              <w:rPr>
                <w:sz w:val="1"/>
                <w:szCs w:val="1"/>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Adjusted EBITDA</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$263-$283</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(a)</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(90-85)</w:t>
            </w:r>
          </w:p>
        </w:tc>
        <w:tc>
          <w:tcPr>
            <w:tcW w:w="0" w:type="dxa"/>
            <w:vAlign w:val="bottom"/>
          </w:tcPr>
          <w:p>
            <w:pPr>
              <w:spacing w:after="0"/>
              <w:rPr>
                <w:sz w:val="1"/>
                <w:szCs w:val="1"/>
                <w:color w:val="auto"/>
              </w:rPr>
            </w:pPr>
          </w:p>
        </w:tc>
      </w:tr>
      <w:tr>
        <w:trPr>
          <w:trHeight w:val="229"/>
        </w:trPr>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(32-30)</w:t>
            </w:r>
          </w:p>
        </w:tc>
        <w:tc>
          <w:tcPr>
            <w:tcW w:w="0" w:type="dxa"/>
            <w:vAlign w:val="bottom"/>
          </w:tcPr>
          <w:p>
            <w:pPr>
              <w:spacing w:after="0"/>
              <w:rPr>
                <w:sz w:val="1"/>
                <w:szCs w:val="1"/>
                <w:color w:val="auto"/>
              </w:rPr>
            </w:pPr>
          </w:p>
        </w:tc>
      </w:tr>
      <w:tr>
        <w:trPr>
          <w:trHeight w:val="229"/>
        </w:trPr>
        <w:tc>
          <w:tcPr>
            <w:tcW w:w="9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(75-70)</w:t>
            </w:r>
          </w:p>
        </w:tc>
        <w:tc>
          <w:tcPr>
            <w:tcW w:w="0" w:type="dxa"/>
            <w:vAlign w:val="bottom"/>
          </w:tcPr>
          <w:p>
            <w:pPr>
              <w:spacing w:after="0"/>
              <w:rPr>
                <w:sz w:val="1"/>
                <w:szCs w:val="1"/>
                <w:color w:val="auto"/>
              </w:rPr>
            </w:pPr>
          </w:p>
        </w:tc>
      </w:tr>
      <w:tr>
        <w:trPr>
          <w:trHeight w:val="230"/>
        </w:trPr>
        <w:tc>
          <w:tcPr>
            <w:tcW w:w="910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Restructuring costs, including certain severance and employee separation benefits</w:t>
            </w:r>
            <w:r>
              <w:rPr>
                <w:rFonts w:ascii="Times New Roman" w:cs="Times New Roman" w:eastAsia="Times New Roman" w:hAnsi="Times New Roman"/>
                <w:sz w:val="21"/>
                <w:szCs w:val="21"/>
                <w:color w:val="auto"/>
                <w:vertAlign w:val="superscript"/>
              </w:rPr>
              <w:t>(b)</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(35-30)</w:t>
            </w:r>
          </w:p>
        </w:tc>
        <w:tc>
          <w:tcPr>
            <w:tcW w:w="0" w:type="dxa"/>
            <w:vAlign w:val="bottom"/>
          </w:tcPr>
          <w:p>
            <w:pPr>
              <w:spacing w:after="0"/>
              <w:rPr>
                <w:sz w:val="1"/>
                <w:szCs w:val="1"/>
                <w:color w:val="auto"/>
              </w:rPr>
            </w:pPr>
          </w:p>
        </w:tc>
      </w:tr>
      <w:tr>
        <w:trPr>
          <w:trHeight w:val="229"/>
        </w:trPr>
        <w:tc>
          <w:tcPr>
            <w:tcW w:w="91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Transaction-related costs</w:t>
            </w:r>
            <w:r>
              <w:rPr>
                <w:rFonts w:ascii="Times New Roman" w:cs="Times New Roman" w:eastAsia="Times New Roman" w:hAnsi="Times New Roman"/>
                <w:sz w:val="21"/>
                <w:szCs w:val="21"/>
                <w:color w:val="auto"/>
                <w:vertAlign w:val="superscript"/>
              </w:rPr>
              <w:t>(c)</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91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6"/>
                <w:szCs w:val="16"/>
                <w:color w:val="auto"/>
              </w:rPr>
              <w:t>Litigation matters</w:t>
            </w:r>
            <w:r>
              <w:rPr>
                <w:rFonts w:ascii="Times New Roman" w:cs="Times New Roman" w:eastAsia="Times New Roman" w:hAnsi="Times New Roman"/>
                <w:sz w:val="21"/>
                <w:szCs w:val="21"/>
                <w:color w:val="auto"/>
                <w:vertAlign w:val="superscript"/>
              </w:rPr>
              <w:t>(d)</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(15-12)</w:t>
            </w:r>
          </w:p>
        </w:tc>
        <w:tc>
          <w:tcPr>
            <w:tcW w:w="0" w:type="dxa"/>
            <w:vAlign w:val="bottom"/>
          </w:tcPr>
          <w:p>
            <w:pPr>
              <w:spacing w:after="0"/>
              <w:rPr>
                <w:sz w:val="1"/>
                <w:szCs w:val="1"/>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income</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$6-$49</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right="20" w:firstLine="8"/>
        <w:spacing w:after="0" w:line="325" w:lineRule="auto"/>
        <w:tabs>
          <w:tab w:leader="none" w:pos="18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the Company consolidating its corporate functions with those of People Inc., the stock-based compensation expense range reflects an estimate of $46 million related to the acceleration and modification of employee awards.</w:t>
      </w:r>
    </w:p>
    <w:p>
      <w:pPr>
        <w:ind w:firstLine="8"/>
        <w:spacing w:after="0" w:line="325" w:lineRule="auto"/>
        <w:tabs>
          <w:tab w:leader="none" w:pos="19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represents costs at Corporate related to a reduction in force as the Company consolidates its corporate function with those of People Inc., as well as costs at People Inc. related to the Q4 2026 staffing reductions.</w:t>
      </w:r>
    </w:p>
    <w:p>
      <w:pPr>
        <w:ind w:firstLine="8"/>
        <w:spacing w:after="0" w:line="325" w:lineRule="auto"/>
        <w:tabs>
          <w:tab w:leader="none" w:pos="196"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represents third-party costs at Corporate related to the sale of Care.com and other transaction-related costs, including the Company’s proposal to acquire all outstanding shares of MGM not already owned by the Company, which was subsequently withdrawn.</w:t>
      </w:r>
    </w:p>
    <w:p>
      <w:pPr>
        <w:ind w:firstLine="8"/>
        <w:spacing w:after="0" w:line="364" w:lineRule="auto"/>
        <w:tabs>
          <w:tab w:leader="none" w:pos="206"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represents third-party costs at People Inc. Digital and People Inc. Other (unallocated corporate costs) primarily related to accruals for certain legal matters, including the antitrust litigation against Google.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Full Year 2026 Observations</w:t>
      </w:r>
    </w:p>
    <w:p>
      <w:pPr>
        <w:spacing w:after="0" w:line="104" w:lineRule="exact"/>
        <w:rPr>
          <w:sz w:val="20"/>
          <w:szCs w:val="20"/>
          <w:color w:val="auto"/>
        </w:rPr>
      </w:pPr>
    </w:p>
    <w:p>
      <w:pPr>
        <w:ind w:left="660" w:hanging="328"/>
        <w:spacing w:after="0" w:line="314" w:lineRule="auto"/>
        <w:tabs>
          <w:tab w:leader="none" w:pos="655" w:val="left"/>
        </w:tabs>
        <w:numPr>
          <w:ilvl w:val="0"/>
          <w:numId w:val="11"/>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 xml:space="preserve">People Inc. – </w:t>
      </w:r>
      <w:r>
        <w:rPr>
          <w:rFonts w:ascii="Times New Roman" w:cs="Times New Roman" w:eastAsia="Times New Roman" w:hAnsi="Times New Roman"/>
          <w:sz w:val="18"/>
          <w:szCs w:val="18"/>
          <w:color w:val="auto"/>
        </w:rPr>
        <w:t>Expect Q4 2026 Digital revenue growth of low-to-mid single digits and FY 2026 Digital revenue growth of mid-single digits.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full year, Print Adjusted EBITDA is expected to approximately offset People Inc. Other (unallocated corporate costs).</w:t>
      </w:r>
    </w:p>
    <w:p>
      <w:pPr>
        <w:spacing w:after="0" w:line="91" w:lineRule="exact"/>
        <w:rPr>
          <w:rFonts w:ascii="Arial" w:cs="Arial" w:eastAsia="Arial" w:hAnsi="Arial"/>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Emerging &amp; Other </w:t>
      </w:r>
      <w:r>
        <w:rPr>
          <w:rFonts w:ascii="Times New Roman" w:cs="Times New Roman" w:eastAsia="Times New Roman" w:hAnsi="Times New Roman"/>
          <w:sz w:val="18"/>
          <w:szCs w:val="18"/>
          <w:color w:val="auto"/>
        </w:rPr>
        <w:t>– Revenue and Adjusted EBITDA growth driven by The Daily Beast and Vivian Health.</w:t>
      </w:r>
    </w:p>
    <w:p>
      <w:pPr>
        <w:spacing w:after="0" w:line="18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w:t>
      </w:r>
      <w:r>
        <w:rPr>
          <w:rFonts w:ascii="Times New Roman" w:cs="Times New Roman" w:eastAsia="Times New Roman" w:hAnsi="Times New Roman"/>
          <w:sz w:val="18"/>
          <w:szCs w:val="18"/>
          <w:color w:val="auto"/>
        </w:rPr>
        <w:t>– The Company’s consolidation of its corporate functions with People Inc. remains on track with estimated Corporate annual run-rate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 of approximately $45 million and annual stock-based compensation expense of approximately $30 million following the completion of the transition in Q1 2027. These figures are prior to any future reallocation of People Inc. leadership costs to the Corporate level, which we expect to occur. However, any such shift in cost allocations would have no impact on expected consolidated savings.</w:t>
      </w:r>
    </w:p>
    <w:p>
      <w:pPr>
        <w:sectPr>
          <w:pgSz w:w="11900" w:h="16838" w:orient="portrait"/>
          <w:cols w:equalWidth="0" w:num="1">
            <w:col w:w="11240"/>
          </w:cols>
          <w:pgMar w:left="320" w:top="121" w:right="339" w:bottom="1440" w:gutter="0" w:footer="0" w:header="0"/>
        </w:sectPr>
      </w:pPr>
    </w:p>
    <w:bookmarkStart w:id="19" w:name="page20"/>
    <w:bookmarkEnd w:id="19"/>
    <w:p>
      <w:pPr>
        <w:ind w:left="9520"/>
        <w:spacing w:after="0"/>
        <w:rPr>
          <w:sz w:val="20"/>
          <w:szCs w:val="20"/>
          <w:color w:val="auto"/>
        </w:rPr>
      </w:pPr>
      <w:r>
        <w:rPr>
          <w:rFonts w:ascii="Times New Roman" w:cs="Times New Roman" w:eastAsia="Times New Roman" w:hAnsi="Times New Roman"/>
          <w:sz w:val="18"/>
          <w:szCs w:val="18"/>
          <w:color w:val="auto"/>
        </w:rPr>
        <w:t>Page 16 of 22</w:t>
      </w:r>
    </w:p>
    <w:p>
      <w:pPr>
        <w:spacing w:after="0" w:line="200" w:lineRule="exact"/>
        <w:rPr>
          <w:sz w:val="20"/>
          <w:szCs w:val="20"/>
          <w:color w:val="auto"/>
        </w:rPr>
      </w:pPr>
    </w:p>
    <w:p>
      <w:pPr>
        <w:spacing w:after="0" w:line="35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i w:val="1"/>
          <w:iCs w:val="1"/>
          <w:color w:val="auto"/>
        </w:rPr>
        <w:t>RECONCILIATIONS OF GAAP TO NON-GAAP MEASURES</w:t>
      </w:r>
    </w:p>
    <w:p>
      <w:pPr>
        <w:spacing w:after="0" w:line="23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i w:val="1"/>
          <w:iCs w:val="1"/>
          <w:color w:val="auto"/>
        </w:rPr>
        <w:t>($ in millions; rounding differences may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INCORPORATED RECONCILIATION OF OPERATING INCOME (LOSS) TO ADJUSTED EBITDA</w:t>
      </w:r>
    </w:p>
    <w:p>
      <w:pPr>
        <w:spacing w:after="0" w:line="2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33655</wp:posOffset>
            </wp:positionV>
            <wp:extent cx="6043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1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Losses from Lease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5"/>
          </w:tcPr>
          <w:p>
            <w:pPr>
              <w:jc w:val="center"/>
              <w:ind w:right="180"/>
              <w:spacing w:after="0" w:line="110" w:lineRule="exact"/>
              <w:rPr>
                <w:sz w:val="20"/>
                <w:szCs w:val="20"/>
                <w:color w:val="auto"/>
              </w:rPr>
            </w:pPr>
            <w:r>
              <w:rPr>
                <w:rFonts w:ascii="Times New Roman" w:cs="Times New Roman" w:eastAsia="Times New Roman" w:hAnsi="Times New Roman"/>
                <w:sz w:val="12"/>
                <w:szCs w:val="12"/>
                <w:b w:val="1"/>
                <w:bCs w:val="1"/>
                <w:color w:val="auto"/>
              </w:rPr>
              <w:t>Costs, Including</w:t>
            </w:r>
          </w:p>
        </w:tc>
        <w:tc>
          <w:tcPr>
            <w:tcW w:w="80" w:type="dxa"/>
            <w:vAlign w:val="bottom"/>
          </w:tcPr>
          <w:p>
            <w:pPr>
              <w:spacing w:after="0"/>
              <w:rPr>
                <w:sz w:val="9"/>
                <w:szCs w:val="9"/>
                <w:color w:val="auto"/>
              </w:rPr>
            </w:pPr>
          </w:p>
        </w:tc>
        <w:tc>
          <w:tcPr>
            <w:tcW w:w="1080" w:type="dxa"/>
            <w:vAlign w:val="bottom"/>
            <w:gridSpan w:val="3"/>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3"/>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Certain</w:t>
            </w:r>
          </w:p>
        </w:tc>
        <w:tc>
          <w:tcPr>
            <w:tcW w:w="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1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Terminations and</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5"/>
            <w:vMerge w:val="restart"/>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Severance and</w:t>
            </w:r>
          </w:p>
        </w:tc>
        <w:tc>
          <w:tcPr>
            <w:tcW w:w="11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8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5"/>
            <w:vMerge w:val="continue"/>
          </w:tcPr>
          <w:p>
            <w:pPr>
              <w:spacing w:after="0"/>
              <w:rPr>
                <w:sz w:val="4"/>
                <w:szCs w:val="4"/>
                <w:color w:val="auto"/>
              </w:rPr>
            </w:pPr>
          </w:p>
        </w:tc>
        <w:tc>
          <w:tcPr>
            <w:tcW w:w="11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Amendments and</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1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2"/>
                <w:szCs w:val="12"/>
                <w:color w:val="auto"/>
              </w:rPr>
            </w:pPr>
          </w:p>
        </w:tc>
        <w:tc>
          <w:tcPr>
            <w:tcW w:w="104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80" w:type="dxa"/>
            <w:vAlign w:val="bottom"/>
          </w:tcPr>
          <w:p>
            <w:pPr>
              <w:spacing w:after="0"/>
              <w:rPr>
                <w:sz w:val="12"/>
                <w:szCs w:val="12"/>
                <w:color w:val="auto"/>
              </w:rPr>
            </w:pPr>
          </w:p>
        </w:tc>
        <w:tc>
          <w:tcPr>
            <w:tcW w:w="1080" w:type="dxa"/>
            <w:vAlign w:val="bottom"/>
            <w:gridSpan w:val="3"/>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Certain Asset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center"/>
              <w:ind w:right="380"/>
              <w:spacing w:after="0" w:line="202" w:lineRule="exact"/>
              <w:rPr>
                <w:sz w:val="20"/>
                <w:szCs w:val="20"/>
                <w:color w:val="auto"/>
              </w:rPr>
            </w:pPr>
            <w:r>
              <w:rPr>
                <w:rFonts w:ascii="Times New Roman" w:cs="Times New Roman" w:eastAsia="Times New Roman" w:hAnsi="Times New Roman"/>
                <w:sz w:val="14"/>
                <w:szCs w:val="14"/>
                <w:b w:val="1"/>
                <w:bCs w:val="1"/>
                <w:color w:val="auto"/>
                <w:w w:val="96"/>
              </w:rPr>
              <w:t>Benefits</w:t>
            </w:r>
            <w:r>
              <w:rPr>
                <w:rFonts w:ascii="Times New Roman" w:cs="Times New Roman" w:eastAsia="Times New Roman" w:hAnsi="Times New Roman"/>
                <w:sz w:val="18"/>
                <w:szCs w:val="18"/>
                <w:b w:val="1"/>
                <w:bCs w:val="1"/>
                <w:color w:val="auto"/>
                <w:w w:val="96"/>
                <w:vertAlign w:val="superscript"/>
              </w:rPr>
              <w:t>(a)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5"/>
          </w:tcPr>
          <w:p>
            <w:pPr>
              <w:jc w:val="right"/>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6"/>
              </w:rPr>
              <w:t>related Costs</w:t>
            </w:r>
            <w:r>
              <w:rPr>
                <w:rFonts w:ascii="Times New Roman" w:cs="Times New Roman" w:eastAsia="Times New Roman" w:hAnsi="Times New Roman"/>
                <w:sz w:val="18"/>
                <w:szCs w:val="18"/>
                <w:b w:val="1"/>
                <w:bCs w:val="1"/>
                <w:color w:val="auto"/>
                <w:w w:val="96"/>
                <w:vertAlign w:val="superscript"/>
              </w:rPr>
              <w:t>(b)</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9"/>
                <w:szCs w:val="9"/>
                <w:b w:val="1"/>
                <w:bCs w:val="1"/>
                <w:color w:val="auto"/>
              </w:rPr>
              <w:t>(c)</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1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People Inc.</w:t>
            </w: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Digital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(unallocated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costs)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People Inc.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&amp;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7"/>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6"/>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1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(Gains) and Losses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left="42"/>
              <w:spacing w:after="0" w:line="149" w:lineRule="exact"/>
              <w:rPr>
                <w:sz w:val="20"/>
                <w:szCs w:val="20"/>
                <w:color w:val="auto"/>
              </w:rPr>
            </w:pPr>
            <w:r>
              <w:rPr>
                <w:rFonts w:ascii="Times New Roman" w:cs="Times New Roman" w:eastAsia="Times New Roman" w:hAnsi="Times New Roman"/>
                <w:sz w:val="14"/>
                <w:szCs w:val="14"/>
                <w:b w:val="1"/>
                <w:bCs w:val="1"/>
                <w:color w:val="auto"/>
              </w:rPr>
              <w:t>from Lease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Costs, Including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Certain Severance</w:t>
            </w:r>
          </w:p>
        </w:tc>
        <w:tc>
          <w:tcPr>
            <w:tcW w:w="10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Terminations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and Employee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Amendments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Certain Asset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Benefits</w:t>
            </w:r>
            <w:r>
              <w:rPr>
                <w:rFonts w:ascii="Times New Roman" w:cs="Times New Roman" w:eastAsia="Times New Roman" w:hAnsi="Times New Roman"/>
                <w:sz w:val="18"/>
                <w:szCs w:val="18"/>
                <w:b w:val="1"/>
                <w:bCs w:val="1"/>
                <w:color w:val="auto"/>
                <w:w w:val="95"/>
                <w:vertAlign w:val="superscript"/>
              </w:rPr>
              <w:t>(d)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left="42"/>
              <w:spacing w:after="0" w:line="202" w:lineRule="exact"/>
              <w:rPr>
                <w:sz w:val="20"/>
                <w:szCs w:val="20"/>
                <w:color w:val="auto"/>
              </w:rPr>
            </w:pPr>
            <w:r>
              <w:rPr>
                <w:rFonts w:ascii="Times New Roman" w:cs="Times New Roman" w:eastAsia="Times New Roman" w:hAnsi="Times New Roman"/>
                <w:sz w:val="14"/>
                <w:szCs w:val="14"/>
                <w:b w:val="1"/>
                <w:bCs w:val="1"/>
                <w:color w:val="auto"/>
                <w:w w:val="91"/>
              </w:rPr>
              <w:t>Sales</w:t>
            </w:r>
            <w:r>
              <w:rPr>
                <w:rFonts w:ascii="Times New Roman" w:cs="Times New Roman" w:eastAsia="Times New Roman" w:hAnsi="Times New Roman"/>
                <w:sz w:val="18"/>
                <w:szCs w:val="18"/>
                <w:b w:val="1"/>
                <w:bCs w:val="1"/>
                <w:color w:val="auto"/>
                <w:w w:val="91"/>
                <w:vertAlign w:val="superscript"/>
              </w:rPr>
              <w: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20"/>
              <w:spacing w:after="0" w:line="202" w:lineRule="exact"/>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18"/>
                <w:szCs w:val="18"/>
                <w:b w:val="1"/>
                <w:bCs w:val="1"/>
                <w:color w:val="auto"/>
                <w:vertAlign w:val="superscript"/>
              </w:rPr>
              <w:t>(f)</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18"/>
                <w:szCs w:val="18"/>
                <w:b w:val="1"/>
                <w:bCs w:val="1"/>
                <w:color w:val="auto"/>
                <w:vertAlign w:val="superscript"/>
              </w:rPr>
              <w:t>(g)</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1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People Inc.</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Digital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8"/>
                <w:szCs w:val="18"/>
                <w:color w:val="auto"/>
              </w:rPr>
            </w:pP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440" w:type="dxa"/>
            <w:vAlign w:val="bottom"/>
            <w:gridSpan w:val="3"/>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3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62"/>
        </w:trPr>
        <w:tc>
          <w:tcPr>
            <w:tcW w:w="1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w w:val="98"/>
              </w:rPr>
              <w:t>Other (unallocated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29"/>
        </w:trPr>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corporate costs)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34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People Inc.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&amp;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7"/>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w:t>
            </w:r>
          </w:p>
        </w:tc>
        <w:tc>
          <w:tcPr>
            <w:tcW w:w="4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121" w:right="739" w:bottom="1440" w:gutter="0" w:footer="0" w:header="0"/>
        </w:sectPr>
      </w:pPr>
    </w:p>
    <w:bookmarkStart w:id="20" w:name="page21"/>
    <w:bookmarkEnd w:id="20"/>
    <w:p>
      <w:pPr>
        <w:ind w:left="9520"/>
        <w:spacing w:after="0"/>
        <w:rPr>
          <w:sz w:val="20"/>
          <w:szCs w:val="20"/>
          <w:color w:val="auto"/>
        </w:rPr>
      </w:pPr>
      <w:r>
        <w:rPr>
          <w:rFonts w:ascii="Times New Roman" w:cs="Times New Roman" w:eastAsia="Times New Roman" w:hAnsi="Times New Roman"/>
          <w:sz w:val="18"/>
          <w:szCs w:val="18"/>
          <w:color w:val="auto"/>
        </w:rPr>
        <w:t>Page 17 of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i w:val="1"/>
          <w:iCs w:val="1"/>
          <w:color w:val="auto"/>
        </w:rPr>
        <w:t>RECONCILIATIONS OF GAAP TO NON-GAAP MEASURES</w:t>
      </w:r>
    </w:p>
    <w:p>
      <w:pPr>
        <w:spacing w:after="0" w:line="4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i w:val="1"/>
          <w:iCs w:val="1"/>
          <w:color w:val="auto"/>
        </w:rPr>
        <w:t>($ in millions; rounding differences may occur)</w:t>
      </w:r>
    </w:p>
    <w:p>
      <w:pPr>
        <w:spacing w:after="0" w:line="6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PEOPLE INCORPORATED RECONCILIATION OF OPERATING INCOME (LOSS) TO ADJUSTED EBITDA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7"/>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2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(Gains) and Losses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Costs, Including</w:t>
            </w:r>
          </w:p>
        </w:tc>
        <w:tc>
          <w:tcPr>
            <w:tcW w:w="140" w:type="dxa"/>
            <w:vAlign w:val="bottom"/>
          </w:tcPr>
          <w:p>
            <w:pPr>
              <w:spacing w:after="0"/>
              <w:rPr>
                <w:sz w:val="12"/>
                <w:szCs w:val="12"/>
                <w:color w:val="auto"/>
              </w:rPr>
            </w:pPr>
          </w:p>
        </w:tc>
        <w:tc>
          <w:tcPr>
            <w:tcW w:w="11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from Lease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Certain Severance</w:t>
            </w:r>
          </w:p>
        </w:tc>
        <w:tc>
          <w:tcPr>
            <w:tcW w:w="140" w:type="dxa"/>
            <w:vAlign w:val="bottom"/>
          </w:tcPr>
          <w:p>
            <w:pPr>
              <w:spacing w:after="0"/>
              <w:rPr>
                <w:sz w:val="12"/>
                <w:szCs w:val="12"/>
                <w:color w:val="auto"/>
              </w:rPr>
            </w:pPr>
          </w:p>
        </w:tc>
        <w:tc>
          <w:tcPr>
            <w:tcW w:w="114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10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and Employee</w:t>
            </w:r>
          </w:p>
        </w:tc>
        <w:tc>
          <w:tcPr>
            <w:tcW w:w="12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Terminations and</w:t>
            </w:r>
          </w:p>
        </w:tc>
        <w:tc>
          <w:tcPr>
            <w:tcW w:w="10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140" w:type="dxa"/>
            <w:vAlign w:val="bottom"/>
          </w:tcPr>
          <w:p>
            <w:pPr>
              <w:spacing w:after="0"/>
              <w:rPr>
                <w:sz w:val="11"/>
                <w:szCs w:val="11"/>
                <w:color w:val="auto"/>
              </w:rPr>
            </w:pPr>
          </w:p>
        </w:tc>
        <w:tc>
          <w:tcPr>
            <w:tcW w:w="7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2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Amendments and</w:t>
            </w:r>
          </w:p>
        </w:tc>
        <w:tc>
          <w:tcPr>
            <w:tcW w:w="200" w:type="dxa"/>
            <w:vAlign w:val="bottom"/>
          </w:tcPr>
          <w:p>
            <w:pPr>
              <w:spacing w:after="0"/>
              <w:rPr>
                <w:sz w:val="12"/>
                <w:szCs w:val="12"/>
                <w:color w:val="auto"/>
              </w:rPr>
            </w:pPr>
          </w:p>
        </w:tc>
        <w:tc>
          <w:tcPr>
            <w:tcW w:w="8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40" w:type="dxa"/>
            <w:vAlign w:val="bottom"/>
            <w:gridSpan w:val="3"/>
            <w:vMerge w:val="continue"/>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Benefits</w:t>
            </w:r>
            <w:r>
              <w:rPr>
                <w:rFonts w:ascii="Times New Roman" w:cs="Times New Roman" w:eastAsia="Times New Roman" w:hAnsi="Times New Roman"/>
                <w:sz w:val="18"/>
                <w:szCs w:val="18"/>
                <w:b w:val="1"/>
                <w:bCs w:val="1"/>
                <w:color w:val="auto"/>
                <w:w w:val="96"/>
                <w:vertAlign w:val="superscript"/>
              </w:rPr>
              <w:t>(a)</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Certain Asset Sales</w:t>
            </w:r>
          </w:p>
        </w:tc>
        <w:tc>
          <w:tcPr>
            <w:tcW w:w="200" w:type="dxa"/>
            <w:vAlign w:val="bottom"/>
          </w:tcPr>
          <w:p>
            <w:pPr>
              <w:spacing w:after="0"/>
              <w:rPr>
                <w:sz w:val="17"/>
                <w:szCs w:val="17"/>
                <w:color w:val="auto"/>
              </w:rPr>
            </w:pPr>
          </w:p>
        </w:tc>
        <w:tc>
          <w:tcPr>
            <w:tcW w:w="8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7"/>
              </w:rPr>
              <w:t>Costs</w:t>
            </w:r>
            <w:r>
              <w:rPr>
                <w:rFonts w:ascii="Times New Roman" w:cs="Times New Roman" w:eastAsia="Times New Roman" w:hAnsi="Times New Roman"/>
                <w:sz w:val="18"/>
                <w:szCs w:val="18"/>
                <w:b w:val="1"/>
                <w:bCs w:val="1"/>
                <w:color w:val="auto"/>
                <w:w w:val="97"/>
                <w:vertAlign w:val="superscript"/>
              </w:rPr>
              <w:t>(b)</w:t>
            </w:r>
          </w:p>
        </w:tc>
        <w:tc>
          <w:tcPr>
            <w:tcW w:w="120" w:type="dxa"/>
            <w:vAlign w:val="bottom"/>
          </w:tcPr>
          <w:p>
            <w:pPr>
              <w:spacing w:after="0"/>
              <w:rPr>
                <w:sz w:val="17"/>
                <w:szCs w:val="17"/>
                <w:color w:val="auto"/>
              </w:rPr>
            </w:pPr>
          </w:p>
        </w:tc>
        <w:tc>
          <w:tcPr>
            <w:tcW w:w="8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18"/>
                <w:szCs w:val="18"/>
                <w:b w:val="1"/>
                <w:bCs w:val="1"/>
                <w:color w:val="auto"/>
                <w:vertAlign w:val="superscript"/>
              </w:rPr>
              <w:t>(c)</w:t>
            </w:r>
          </w:p>
        </w:tc>
        <w:tc>
          <w:tcPr>
            <w:tcW w:w="14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1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People Inc.</w:t>
            </w: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Digital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0" w:type="dxa"/>
            <w:vAlign w:val="bottom"/>
          </w:tcPr>
          <w:p>
            <w:pPr>
              <w:spacing w:after="0"/>
              <w:rPr>
                <w:sz w:val="1"/>
                <w:szCs w:val="1"/>
                <w:color w:val="auto"/>
              </w:rPr>
            </w:pPr>
          </w:p>
        </w:tc>
      </w:tr>
      <w:tr>
        <w:trPr>
          <w:trHeight w:val="219"/>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162"/>
        </w:trPr>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 (unallocated</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129"/>
        </w:trPr>
        <w:tc>
          <w:tcPr>
            <w:tcW w:w="14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corporate costs)</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44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People Inc.</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213"/>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&amp; Other</w:t>
            </w:r>
          </w:p>
        </w:tc>
        <w:tc>
          <w:tcPr>
            <w:tcW w:w="12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07"/>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6"/>
        </w:trPr>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7"/>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2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(Gains) and Losses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from Lease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Costs, Including</w:t>
            </w:r>
          </w:p>
        </w:tc>
        <w:tc>
          <w:tcPr>
            <w:tcW w:w="140" w:type="dxa"/>
            <w:vAlign w:val="bottom"/>
          </w:tcPr>
          <w:p>
            <w:pPr>
              <w:spacing w:after="0"/>
              <w:rPr>
                <w:sz w:val="12"/>
                <w:szCs w:val="12"/>
                <w:color w:val="auto"/>
              </w:rPr>
            </w:pPr>
          </w:p>
        </w:tc>
        <w:tc>
          <w:tcPr>
            <w:tcW w:w="11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Certain Severance</w:t>
            </w:r>
          </w:p>
        </w:tc>
        <w:tc>
          <w:tcPr>
            <w:tcW w:w="12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Terminations and</w:t>
            </w:r>
          </w:p>
        </w:tc>
        <w:tc>
          <w:tcPr>
            <w:tcW w:w="10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and Employee</w:t>
            </w:r>
          </w:p>
        </w:tc>
        <w:tc>
          <w:tcPr>
            <w:tcW w:w="12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Amendments and</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140" w:type="dxa"/>
            <w:vAlign w:val="bottom"/>
          </w:tcPr>
          <w:p>
            <w:pPr>
              <w:spacing w:after="0"/>
              <w:rPr>
                <w:sz w:val="12"/>
                <w:szCs w:val="12"/>
                <w:color w:val="auto"/>
              </w:rPr>
            </w:pPr>
          </w:p>
        </w:tc>
        <w:tc>
          <w:tcPr>
            <w:tcW w:w="7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40" w:type="dxa"/>
            <w:vAlign w:val="bottom"/>
          </w:tcPr>
          <w:p>
            <w:pPr>
              <w:spacing w:after="0"/>
              <w:rPr>
                <w:sz w:val="12"/>
                <w:szCs w:val="12"/>
                <w:color w:val="auto"/>
              </w:rPr>
            </w:pPr>
          </w:p>
        </w:tc>
        <w:tc>
          <w:tcPr>
            <w:tcW w:w="11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Certain Asset</w:t>
            </w:r>
          </w:p>
        </w:tc>
        <w:tc>
          <w:tcPr>
            <w:tcW w:w="2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9"/>
                <w:szCs w:val="9"/>
                <w:b w:val="1"/>
                <w:bCs w:val="1"/>
                <w:color w:val="auto"/>
              </w:rPr>
              <w:t>(h)</w:t>
            </w:r>
          </w:p>
        </w:tc>
        <w:tc>
          <w:tcPr>
            <w:tcW w:w="1040" w:type="dxa"/>
            <w:vAlign w:val="bottom"/>
            <w:gridSpan w:val="3"/>
            <w:vMerge w:val="continue"/>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Benefits</w:t>
            </w:r>
            <w:r>
              <w:rPr>
                <w:rFonts w:ascii="Times New Roman" w:cs="Times New Roman" w:eastAsia="Times New Roman" w:hAnsi="Times New Roman"/>
                <w:sz w:val="9"/>
                <w:szCs w:val="9"/>
                <w:b w:val="1"/>
                <w:bCs w:val="1"/>
                <w:color w:val="auto"/>
              </w:rPr>
              <w:t>(d)(i)</w:t>
            </w:r>
          </w:p>
        </w:tc>
        <w:tc>
          <w:tcPr>
            <w:tcW w:w="140" w:type="dxa"/>
            <w:vAlign w:val="bottom"/>
          </w:tcPr>
          <w:p>
            <w:pPr>
              <w:spacing w:after="0"/>
              <w:rPr>
                <w:sz w:val="17"/>
                <w:szCs w:val="17"/>
                <w:color w:val="auto"/>
              </w:rPr>
            </w:pPr>
          </w:p>
        </w:tc>
        <w:tc>
          <w:tcPr>
            <w:tcW w:w="1140" w:type="dxa"/>
            <w:vAlign w:val="bottom"/>
          </w:tcPr>
          <w:p>
            <w:pPr>
              <w:jc w:val="center"/>
              <w:ind w:right="102"/>
              <w:spacing w:after="0" w:line="202" w:lineRule="exact"/>
              <w:rPr>
                <w:sz w:val="20"/>
                <w:szCs w:val="20"/>
                <w:color w:val="auto"/>
              </w:rPr>
            </w:pPr>
            <w:r>
              <w:rPr>
                <w:rFonts w:ascii="Times New Roman" w:cs="Times New Roman" w:eastAsia="Times New Roman" w:hAnsi="Times New Roman"/>
                <w:sz w:val="14"/>
                <w:szCs w:val="14"/>
                <w:b w:val="1"/>
                <w:bCs w:val="1"/>
                <w:color w:val="auto"/>
                <w:w w:val="91"/>
              </w:rPr>
              <w:t>Sales</w:t>
            </w:r>
            <w:r>
              <w:rPr>
                <w:rFonts w:ascii="Times New Roman" w:cs="Times New Roman" w:eastAsia="Times New Roman" w:hAnsi="Times New Roman"/>
                <w:sz w:val="18"/>
                <w:szCs w:val="18"/>
                <w:b w:val="1"/>
                <w:bCs w:val="1"/>
                <w:color w:val="auto"/>
                <w:w w:val="91"/>
                <w:vertAlign w:val="superscript"/>
              </w:rPr>
              <w:t>(e)</w:t>
            </w:r>
          </w:p>
        </w:tc>
        <w:tc>
          <w:tcPr>
            <w:tcW w:w="20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9"/>
                <w:szCs w:val="9"/>
                <w:b w:val="1"/>
                <w:bCs w:val="1"/>
                <w:color w:val="auto"/>
              </w:rPr>
              <w:t>(f)</w:t>
            </w:r>
          </w:p>
        </w:tc>
        <w:tc>
          <w:tcPr>
            <w:tcW w:w="120" w:type="dxa"/>
            <w:vAlign w:val="bottom"/>
          </w:tcPr>
          <w:p>
            <w:pPr>
              <w:spacing w:after="0"/>
              <w:rPr>
                <w:sz w:val="17"/>
                <w:szCs w:val="17"/>
                <w:color w:val="auto"/>
              </w:rPr>
            </w:pPr>
          </w:p>
        </w:tc>
        <w:tc>
          <w:tcPr>
            <w:tcW w:w="8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18"/>
                <w:szCs w:val="18"/>
                <w:b w:val="1"/>
                <w:bCs w:val="1"/>
                <w:color w:val="auto"/>
                <w:vertAlign w:val="superscript"/>
              </w:rPr>
              <w:t>(g)</w:t>
            </w:r>
          </w:p>
        </w:tc>
        <w:tc>
          <w:tcPr>
            <w:tcW w:w="14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1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People Inc.</w:t>
            </w: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Digital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19"/>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162"/>
        </w:trPr>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 (unallocated</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129"/>
        </w:trPr>
        <w:tc>
          <w:tcPr>
            <w:tcW w:w="14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corporate costs)</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44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People Inc.</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213"/>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&amp; Other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7"/>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121" w:right="739" w:bottom="1440" w:gutter="0" w:footer="0" w:header="0"/>
        </w:sectPr>
      </w:pPr>
    </w:p>
    <w:bookmarkStart w:id="21" w:name="page22"/>
    <w:bookmarkEnd w:id="21"/>
    <w:p>
      <w:pPr>
        <w:ind w:left="9520"/>
        <w:spacing w:after="0"/>
        <w:rPr>
          <w:sz w:val="20"/>
          <w:szCs w:val="20"/>
          <w:color w:val="auto"/>
        </w:rPr>
      </w:pPr>
      <w:r>
        <w:rPr>
          <w:rFonts w:ascii="Times New Roman" w:cs="Times New Roman" w:eastAsia="Times New Roman" w:hAnsi="Times New Roman"/>
          <w:sz w:val="18"/>
          <w:szCs w:val="18"/>
          <w:color w:val="auto"/>
        </w:rPr>
        <w:t>Page 18 of 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660" w:right="260" w:hanging="328"/>
        <w:spacing w:after="0" w:line="221" w:lineRule="auto"/>
        <w:tabs>
          <w:tab w:leader="none" w:pos="533"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2026 at Corporate principally represents costs related to a reduction in force as the Company consolidates its corporate function with those of People Inc.</w:t>
      </w:r>
    </w:p>
    <w:p>
      <w:pPr>
        <w:spacing w:after="0" w:line="217" w:lineRule="exact"/>
        <w:rPr>
          <w:rFonts w:ascii="Times New Roman" w:cs="Times New Roman" w:eastAsia="Times New Roman" w:hAnsi="Times New Roman"/>
          <w:sz w:val="19"/>
          <w:szCs w:val="19"/>
          <w:color w:val="auto"/>
          <w:vertAlign w:val="superscript"/>
        </w:rPr>
      </w:pPr>
    </w:p>
    <w:p>
      <w:pPr>
        <w:ind w:left="660" w:right="280" w:hanging="328"/>
        <w:spacing w:after="0" w:line="221" w:lineRule="auto"/>
        <w:tabs>
          <w:tab w:leader="none" w:pos="53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2026 at Corporate include third-party costs related to the Company’s proposal to acquire all outstanding shares of MGM not already owned by the Company, which was withdrawn on September 23, 2026, and third-party costs related to the sale of Care.com on March 16, 2026.</w:t>
      </w:r>
    </w:p>
    <w:p>
      <w:pPr>
        <w:spacing w:after="0" w:line="217" w:lineRule="exact"/>
        <w:rPr>
          <w:rFonts w:ascii="Times New Roman" w:cs="Times New Roman" w:eastAsia="Times New Roman" w:hAnsi="Times New Roman"/>
          <w:sz w:val="19"/>
          <w:szCs w:val="19"/>
          <w:color w:val="auto"/>
          <w:vertAlign w:val="superscript"/>
        </w:rPr>
      </w:pPr>
    </w:p>
    <w:p>
      <w:pPr>
        <w:ind w:left="660" w:right="280" w:hanging="328"/>
        <w:spacing w:after="0" w:line="221" w:lineRule="auto"/>
        <w:tabs>
          <w:tab w:leader="none" w:pos="533"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2026 at People Inc. Other (unallocated corporate costs) and nine months ended September 30, 2026 at People Inc. Digital represents third-party costs primarily related to accruals for certain litigation matters, including antitrust litigation against Google.</w:t>
      </w:r>
    </w:p>
    <w:p>
      <w:pPr>
        <w:spacing w:after="0" w:line="217" w:lineRule="exact"/>
        <w:rPr>
          <w:rFonts w:ascii="Times New Roman" w:cs="Times New Roman" w:eastAsia="Times New Roman" w:hAnsi="Times New Roman"/>
          <w:sz w:val="19"/>
          <w:szCs w:val="19"/>
          <w:color w:val="auto"/>
          <w:vertAlign w:val="superscript"/>
        </w:rPr>
      </w:pPr>
    </w:p>
    <w:p>
      <w:pPr>
        <w:ind w:left="660" w:right="120" w:hanging="328"/>
        <w:spacing w:after="0" w:line="221" w:lineRule="auto"/>
        <w:tabs>
          <w:tab w:leader="none" w:pos="53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2025 at People Inc. represents severance-related costs driven by headcount reductions to better align the business with strategic growth priorities.</w:t>
      </w:r>
    </w:p>
    <w:p>
      <w:pPr>
        <w:ind w:left="660" w:right="100" w:hanging="328"/>
        <w:spacing w:after="0" w:line="252" w:lineRule="auto"/>
        <w:tabs>
          <w:tab w:leader="none" w:pos="581"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three and nine months ended September 30, 2025 at People Inc. Other (unallocated corporate costs) is principally related to gains resulting from amendments to a lease, which provided for the surrender of certain office space early and is included in “General and Administrative expenses” in the statement of operations. Prior to this amendment, the lease for this office space would have expired in 2032. The ROU asset of the amended lease had been previously impaired in prior years.</w:t>
      </w:r>
    </w:p>
    <w:p>
      <w:pPr>
        <w:spacing w:after="0" w:line="209" w:lineRule="exact"/>
        <w:rPr>
          <w:rFonts w:ascii="Times New Roman" w:cs="Times New Roman" w:eastAsia="Times New Roman" w:hAnsi="Times New Roman"/>
          <w:sz w:val="9"/>
          <w:szCs w:val="9"/>
          <w:color w:val="auto"/>
        </w:rPr>
      </w:pPr>
    </w:p>
    <w:p>
      <w:pPr>
        <w:ind w:left="660" w:right="80" w:hanging="328"/>
        <w:spacing w:after="0" w:line="221" w:lineRule="auto"/>
        <w:tabs>
          <w:tab w:leader="none" w:pos="606"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2025 include third-party costs related to the sale of Care.com and the nine months ended September 30, 2025 also include $4.8 million in third-party costs related to the spin-off of Angi in the first quarter of 2025.</w:t>
      </w:r>
    </w:p>
    <w:p>
      <w:pPr>
        <w:spacing w:after="0" w:line="123" w:lineRule="exact"/>
        <w:rPr>
          <w:rFonts w:ascii="Times New Roman" w:cs="Times New Roman" w:eastAsia="Times New Roman" w:hAnsi="Times New Roman"/>
          <w:sz w:val="19"/>
          <w:szCs w:val="19"/>
          <w:color w:val="auto"/>
          <w:vertAlign w:val="superscript"/>
        </w:rPr>
      </w:pPr>
    </w:p>
    <w:p>
      <w:pPr>
        <w:ind w:left="660" w:right="180" w:hanging="328"/>
        <w:spacing w:after="0" w:line="221" w:lineRule="auto"/>
        <w:tabs>
          <w:tab w:leader="none" w:pos="586"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2025 at Emerging &amp; Other represents third-party costs related to a certain litigation matter that concluded in the third quarter of 2025 related to a legacy business.</w:t>
      </w:r>
    </w:p>
    <w:p>
      <w:pPr>
        <w:spacing w:after="0" w:line="204" w:lineRule="exact"/>
        <w:rPr>
          <w:rFonts w:ascii="Times New Roman" w:cs="Times New Roman" w:eastAsia="Times New Roman" w:hAnsi="Times New Roman"/>
          <w:sz w:val="19"/>
          <w:szCs w:val="19"/>
          <w:color w:val="auto"/>
          <w:vertAlign w:val="superscript"/>
        </w:rPr>
      </w:pPr>
    </w:p>
    <w:p>
      <w:pPr>
        <w:ind w:left="660" w:right="40" w:hanging="328"/>
        <w:spacing w:after="0" w:line="261" w:lineRule="auto"/>
        <w:tabs>
          <w:tab w:leader="none" w:pos="586"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nine months ended September 30, 2025 at Corporate reflect the reversal of $49.8 million of previously recognized stock-based compensation expense related to the forfeiture of our former CEO’s restricted stock award pursuant to his employment transition agreement, partially offset by $14.9 million of stock-based compensation expense related to the transfer of 5.0 million Class B shares of Angi held by the Company to our former CEO prior to the Distribution pursuant to his employment transition agreement.</w:t>
      </w:r>
    </w:p>
    <w:p>
      <w:pPr>
        <w:spacing w:after="0" w:line="68" w:lineRule="exact"/>
        <w:rPr>
          <w:rFonts w:ascii="Times New Roman" w:cs="Times New Roman" w:eastAsia="Times New Roman" w:hAnsi="Times New Roman"/>
          <w:sz w:val="9"/>
          <w:szCs w:val="9"/>
          <w:color w:val="auto"/>
        </w:rPr>
      </w:pPr>
    </w:p>
    <w:p>
      <w:pPr>
        <w:ind w:left="560" w:hanging="228"/>
        <w:spacing w:after="0"/>
        <w:tabs>
          <w:tab w:leader="none" w:pos="56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nine months ended September 30, 2025 at Corporate primarily represents separation benefits to our former CEO under his employment transition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 INC. DIGITAL OPERATING INCOME MARGIN TO DIGITAL ADJUSTED EBITDA MARGIN RECONCILIATION</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92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40"/>
        </w:trPr>
        <w:tc>
          <w:tcPr>
            <w:tcW w:w="9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Revenue</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0" w:type="dxa"/>
            <w:vAlign w:val="bottom"/>
          </w:tcPr>
          <w:p>
            <w:pPr>
              <w:spacing w:after="0"/>
              <w:rPr>
                <w:sz w:val="1"/>
                <w:szCs w:val="1"/>
                <w:color w:val="auto"/>
              </w:rPr>
            </w:pPr>
          </w:p>
        </w:tc>
      </w:tr>
      <w:tr>
        <w:trPr>
          <w:trHeight w:val="21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Digital Operating Income</w:t>
            </w:r>
          </w:p>
        </w:tc>
        <w:tc>
          <w:tcPr>
            <w:tcW w:w="240" w:type="dxa"/>
            <w:vAlign w:val="bottom"/>
          </w:tcPr>
          <w:p>
            <w:pPr>
              <w:spacing w:after="0"/>
              <w:rPr>
                <w:sz w:val="18"/>
                <w:szCs w:val="18"/>
                <w:color w:val="auto"/>
              </w:rPr>
            </w:pPr>
          </w:p>
        </w:tc>
        <w:tc>
          <w:tcPr>
            <w:tcW w:w="1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9"/>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Digital Operating Income Margin</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9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8"/>
                <w:szCs w:val="18"/>
                <w:color w:val="auto"/>
              </w:rPr>
            </w:pPr>
          </w:p>
        </w:tc>
        <w:tc>
          <w:tcPr>
            <w:tcW w:w="1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9"/>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3"/>
        </w:trPr>
        <w:tc>
          <w:tcPr>
            <w:tcW w:w="9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Restructuring costs, including certain severance and employee separation benefits</w:t>
            </w: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Adjusted EBITDA</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72.0</w:t>
            </w:r>
          </w:p>
        </w:tc>
        <w:tc>
          <w:tcPr>
            <w:tcW w:w="0" w:type="dxa"/>
            <w:vAlign w:val="bottom"/>
          </w:tcPr>
          <w:p>
            <w:pPr>
              <w:spacing w:after="0"/>
              <w:rPr>
                <w:sz w:val="1"/>
                <w:szCs w:val="1"/>
                <w:color w:val="auto"/>
              </w:rPr>
            </w:pPr>
          </w:p>
        </w:tc>
      </w:tr>
      <w:tr>
        <w:trPr>
          <w:trHeight w:val="212"/>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Digital Adjusted EBITDA margin</w:t>
            </w: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ind w:left="9520"/>
        <w:spacing w:after="0"/>
        <w:rPr>
          <w:sz w:val="20"/>
          <w:szCs w:val="20"/>
          <w:color w:val="auto"/>
        </w:rPr>
      </w:pPr>
      <w:r>
        <w:rPr>
          <w:rFonts w:ascii="Times New Roman" w:cs="Times New Roman" w:eastAsia="Times New Roman" w:hAnsi="Times New Roman"/>
          <w:sz w:val="18"/>
          <w:szCs w:val="18"/>
          <w:color w:val="auto"/>
        </w:rPr>
        <w:t>Page 19 of 22</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PRINCIPLES OF FINANCIAL REPORTING</w:t>
      </w:r>
    </w:p>
    <w:p>
      <w:pPr>
        <w:spacing w:after="0" w:line="23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color w:val="auto"/>
        </w:rPr>
        <w:t>People Incorporated reports Adjusted EBITDA and Free Cash Flow, which are supplemental measures to U.S. generally accepted accounting principles (“GAAP”). Adjusted EBITDA is our primary segment measure of profitability; it and Free Cash Flow are among the metrics by which we evaluate the performance of our</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7"/>
          <w:szCs w:val="17"/>
          <w:color w:val="auto"/>
        </w:rPr>
        <w:t>businesses, and our internal budgets are based and may also impact management compensation. We believe that investors and analysts should have access to, and we are obligated to provide, the same set of tools that we use in analyzing our results. These non-GAAP measures should be considered in addition to results</w:t>
      </w:r>
    </w:p>
    <w:p>
      <w:pPr>
        <w:jc w:val="both"/>
        <w:spacing w:after="0" w:line="207" w:lineRule="auto"/>
        <w:rPr>
          <w:sz w:val="20"/>
          <w:szCs w:val="20"/>
          <w:color w:val="auto"/>
        </w:rPr>
      </w:pPr>
      <w:r>
        <w:rPr>
          <w:rFonts w:ascii="Times New Roman" w:cs="Times New Roman" w:eastAsia="Times New Roman" w:hAnsi="Times New Roman"/>
          <w:sz w:val="17"/>
          <w:szCs w:val="17"/>
          <w:color w:val="auto"/>
        </w:rPr>
        <w:t>prepared in accordance with GAAP but should not be considered a substitute for or superior to GAAP results. People Incorporated endeavors to compensate for the limitations of the non-GAAP measures presented by providing the comparable GAAP measures with equal or greater prominence and descriptions of the</w:t>
      </w:r>
    </w:p>
    <w:p>
      <w:pPr>
        <w:spacing w:after="0" w:line="215" w:lineRule="auto"/>
        <w:rPr>
          <w:sz w:val="20"/>
          <w:szCs w:val="20"/>
          <w:color w:val="auto"/>
        </w:rPr>
      </w:pPr>
      <w:r>
        <w:rPr>
          <w:rFonts w:ascii="Times New Roman" w:cs="Times New Roman" w:eastAsia="Times New Roman" w:hAnsi="Times New Roman"/>
          <w:sz w:val="17"/>
          <w:szCs w:val="17"/>
          <w:color w:val="auto"/>
        </w:rPr>
        <w:t>reconciling items, including quantifying such items, to derive the non-GAAP measures. We encourage investors to examine the reconciling adjustments between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the GAAP and non-GAAP measures, which are included in this release. Interim results are not necessarily indicative of the results that may be expected for a full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Definitions of Non-GAAP Measures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Adjusted EBITDA (Earnings Before Interest, Taxes, Depreciation and Amortization)</w:t>
      </w:r>
      <w:r>
        <w:rPr>
          <w:rFonts w:ascii="Times New Roman" w:cs="Times New Roman" w:eastAsia="Times New Roman" w:hAnsi="Times New Roman"/>
          <w:sz w:val="17"/>
          <w:szCs w:val="17"/>
          <w:color w:val="auto"/>
        </w:rPr>
        <w:t xml:space="preserve"> is defined as operating income excluding: (1) stock-based compensation</w:t>
      </w:r>
    </w:p>
    <w:p>
      <w:pPr>
        <w:spacing w:after="0" w:line="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expense; (2) depreciation; (3) acquisition-related items consisting of (i) amortization of intangible assets and impairments of goodwill and intangible assets and (ii) gains and losses recognized on changes in the fair value of contingent consideration arrangements; and (4) other specific items, including subsequent true-up adjustments related to such items, that management believes are not representative of People Incorporated’s core ongoing operating performance and certain items that affect comparability between periods, including, but not limited to, certain (i) restructuring costs, including certain severance and employee separation benefits;</w:t>
      </w:r>
    </w:p>
    <w:p>
      <w:pPr>
        <w:spacing w:after="0" w:line="1" w:lineRule="exact"/>
        <w:rPr>
          <w:sz w:val="20"/>
          <w:szCs w:val="20"/>
          <w:color w:val="auto"/>
        </w:rPr>
      </w:pPr>
    </w:p>
    <w:p>
      <w:pPr>
        <w:ind w:firstLine="8"/>
        <w:spacing w:after="0" w:line="242" w:lineRule="auto"/>
        <w:tabs>
          <w:tab w:leader="none" w:pos="26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and losses from lease impairments, terminations and amendments and certain asset sales; (iii) transaction-related costs; and (iv) litigation-related gains and losses associated with specific matters.</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above items are excluded from our Adjusted EBITDA measure because these items are noncash in nature, or because the amount and timing of these items is unpredictable, not driven by core operating results and render comparisons with prior periods and competitors less meaningful. Management uses Adjusted EBITDA to evaluate People Incorporated’s performance and facilitate comparisons of the Company’s operating results between periods. We believe Adjusted EBITDA is a useful measure for analysts and investors to evaluate our future on-going performance as this measure allows a more meaningful comparison of our performance and projected cash earnings with our historical results from prior periods and to the results of our competitors. Moreover, our management uses this measure internally to evaluate the performance of our business as a whole and our individual business segments. Adjusted EBITDA has certain limitations because it excludes the impact of these items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Prior to the second quarter of 2026, Adjusted EBITDA was defined as operating income excluding: (1) stock-based compensation expense; (2) depreciation; and (3) acquisition-related items consisting of (i) amortization of intangible assets and impairments of goodwill and intangible assets, and (ii) gains and losses recognized on changes in the fair value of contingent consideration arrangements. Beginning with the second quarter of 2026, People Incorporated revised its definition of Adjusted EBITDA to also exclude (4) other specific items, including subsequent true-up adjustments related to such items, that management believes are not representative of the Company’s core ongoing operating performance and certain items that affect comparability between periods. Adjusted EBITDA has been recast to reflect the revised definition for all periods presented.</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u w:val="single" w:color="auto"/>
          <w:color w:val="auto"/>
        </w:rPr>
        <w:t>Free Cash Flow</w:t>
      </w:r>
      <w:r>
        <w:rPr>
          <w:rFonts w:ascii="Times New Roman" w:cs="Times New Roman" w:eastAsia="Times New Roman" w:hAnsi="Times New Roman"/>
          <w:sz w:val="17"/>
          <w:szCs w:val="17"/>
          <w:color w:val="auto"/>
        </w:rPr>
        <w:t xml:space="preserve"> is defined as net cash provided by operating activities attributable to continuing operations, less capital expenditures. We believe Free Cash Flow is useful to analysts and investors because it represents the cash that our operating businesses generate, before taking into account non-operational cash movements. Free Cash Flow has certain limitations in that it does not represent the total increase or decrease in the cash balance for the period, nor does it represent the residual cash flow for discretionary expenditures. For example, it does not take into account stock repurchases. Therefore, we think it is important to evaluate Free Cash Flow along with our consolidated statement of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Non-Cash Expenses That Are Excluded from Adjusted EBITDA</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u w:val="single" w:color="auto"/>
          <w:color w:val="auto"/>
        </w:rPr>
        <w:t>Stock-based compensation expense</w:t>
      </w:r>
      <w:r>
        <w:rPr>
          <w:rFonts w:ascii="Times New Roman" w:cs="Times New Roman" w:eastAsia="Times New Roman" w:hAnsi="Times New Roman"/>
          <w:sz w:val="17"/>
          <w:szCs w:val="17"/>
          <w:color w:val="auto"/>
        </w:rPr>
        <w:t xml:space="preserve"> consists principally of expense associated with awards that were granted under various stock and annual incentive plans that are denominated in People Incorporated’s common shares. This expense is not paid in cash and we view the economic costs of stock-based awards to be the dilution to our share base; the related shares are included in our fully diluted shares outstanding for GAAP earnings per share using the treasury stock method. People Incorporated currently settles all stock-based awards on a net basis whereby the Company remits from its current funds the required tax-withholding on behalf of employees for net-settled awards.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Please see page </w:t>
      </w:r>
      <w:r>
        <w:rPr>
          <w:rFonts w:ascii="Times New Roman" w:cs="Times New Roman" w:eastAsia="Times New Roman" w:hAnsi="Times New Roman"/>
          <w:sz w:val="17"/>
          <w:szCs w:val="17"/>
          <w:u w:val="single" w:color="auto"/>
          <w:color w:val="0000FF"/>
        </w:rPr>
        <w:t>11</w:t>
      </w:r>
      <w:r>
        <w:rPr>
          <w:rFonts w:ascii="Times New Roman" w:cs="Times New Roman" w:eastAsia="Times New Roman" w:hAnsi="Times New Roman"/>
          <w:sz w:val="17"/>
          <w:szCs w:val="17"/>
          <w:color w:val="auto"/>
        </w:rPr>
        <w:t xml:space="preserve"> for a summary of our dilutive securities, including stock-based awards as of October 30, 2026, and a description of the calculation methodology.</w:t>
      </w:r>
    </w:p>
    <w:p>
      <w:pPr>
        <w:spacing w:after="0" w:line="200" w:lineRule="exact"/>
        <w:rPr>
          <w:sz w:val="20"/>
          <w:szCs w:val="20"/>
          <w:color w:val="auto"/>
        </w:rPr>
      </w:pPr>
    </w:p>
    <w:p>
      <w:pPr>
        <w:spacing w:after="0" w:line="22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u w:val="single" w:color="auto"/>
          <w:color w:val="auto"/>
        </w:rPr>
        <w:t>Depreciation</w:t>
      </w:r>
      <w:r>
        <w:rPr>
          <w:rFonts w:ascii="Times New Roman" w:cs="Times New Roman" w:eastAsia="Times New Roman" w:hAnsi="Times New Roman"/>
          <w:sz w:val="17"/>
          <w:szCs w:val="17"/>
          <w:color w:val="auto"/>
        </w:rPr>
        <w:t xml:space="preserve"> is a non-cash expense relating to our buildings, equipment, leasehold improvements and capitalized software and is computed using the straight-line method to allocate the cost of depreciable assets to operations over their estimated useful lives, or, in the case of leasehold improvements, the lease term, if shorter.</w:t>
      </w:r>
    </w:p>
    <w:p>
      <w:pPr>
        <w:spacing w:after="0" w:line="19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u w:val="single" w:color="auto"/>
          <w:color w:val="auto"/>
        </w:rPr>
        <w:t>Amortization of intangible assets and impairments of goodwill and intangible assets</w:t>
      </w:r>
      <w:r>
        <w:rPr>
          <w:rFonts w:ascii="Times New Roman" w:cs="Times New Roman" w:eastAsia="Times New Roman" w:hAnsi="Times New Roman"/>
          <w:sz w:val="17"/>
          <w:szCs w:val="17"/>
          <w:color w:val="auto"/>
        </w:rPr>
        <w:t xml:space="preserve"> are non-cash expenses related primarily to acquisitions. At the time of acquisition, the identifiable definite-lived intangible assets of the acquired company are valued and amortized over their estimated lives. Value is also assigned to acquired indefinite-lived intangible assets, which comprise trade names</w:t>
      </w:r>
    </w:p>
    <w:p>
      <w:pPr>
        <w:sectPr>
          <w:pgSz w:w="11900" w:h="16838" w:orient="portrait"/>
          <w:cols w:equalWidth="0" w:num="1">
            <w:col w:w="11240"/>
          </w:cols>
          <w:pgMar w:left="320" w:top="121" w:right="339" w:bottom="1440" w:gutter="0" w:footer="0" w:header="0"/>
        </w:sectPr>
      </w:pPr>
    </w:p>
    <w:bookmarkStart w:id="23" w:name="page24"/>
    <w:bookmarkEnd w:id="23"/>
    <w:p>
      <w:pPr>
        <w:ind w:left="9520"/>
        <w:spacing w:after="0"/>
        <w:rPr>
          <w:sz w:val="20"/>
          <w:szCs w:val="20"/>
          <w:color w:val="auto"/>
        </w:rPr>
      </w:pPr>
      <w:r>
        <w:rPr>
          <w:rFonts w:ascii="Times New Roman" w:cs="Times New Roman" w:eastAsia="Times New Roman" w:hAnsi="Times New Roman"/>
          <w:sz w:val="18"/>
          <w:szCs w:val="18"/>
          <w:color w:val="auto"/>
        </w:rPr>
        <w:t>Page 20 of 22</w:t>
      </w:r>
    </w:p>
    <w:p>
      <w:pPr>
        <w:spacing w:after="0" w:line="200" w:lineRule="exact"/>
        <w:rPr>
          <w:sz w:val="20"/>
          <w:szCs w:val="20"/>
          <w:color w:val="auto"/>
        </w:rPr>
      </w:pPr>
    </w:p>
    <w:p>
      <w:pPr>
        <w:spacing w:after="0" w:line="3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u w:val="single" w:color="auto"/>
          <w:color w:val="auto"/>
        </w:rPr>
        <w:t>Gains and losses recognized on changes in the fair value of contingent consideration arrangements</w:t>
      </w:r>
      <w:r>
        <w:rPr>
          <w:rFonts w:ascii="Times New Roman" w:cs="Times New Roman" w:eastAsia="Times New Roman" w:hAnsi="Times New Roman"/>
          <w:sz w:val="17"/>
          <w:szCs w:val="17"/>
          <w:color w:val="auto"/>
        </w:rPr>
        <w:t xml:space="preserve"> are accounting adjustments to report liabilities for the portion of the purchase price of acquisitions, if applicable, that is contingent upon the financial performance and/or operating targets of the acquired company at fair value that are recognized in “General and administrative expense” in the statement of operations. These adjustments can be highly variable and are excluded from our assessment of performance because they are considered non-operational in nature and, therefore, are not indicative of current or future performance or the ongoing cost of doing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Restructuring costs, including certain severance and employee separation benefits</w:t>
      </w:r>
      <w:r>
        <w:rPr>
          <w:rFonts w:ascii="Times New Roman" w:cs="Times New Roman" w:eastAsia="Times New Roman" w:hAnsi="Times New Roman"/>
          <w:sz w:val="17"/>
          <w:szCs w:val="17"/>
          <w:color w:val="auto"/>
        </w:rPr>
        <w:t xml:space="preserve"> relate to certain discrete strategic actions taken by People Incorporated to</w:t>
      </w:r>
    </w:p>
    <w:p>
      <w:pPr>
        <w:spacing w:after="0" w:line="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improve operating efficiencies and to better align its cost structure. Ordinary course severance and employee separation benefits are not considered restructuring costs.</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u w:val="single" w:color="auto"/>
          <w:color w:val="auto"/>
        </w:rPr>
        <w:t>Gains and losses from lease impairments, terminations and amendments and certain asset sales</w:t>
      </w:r>
      <w:r>
        <w:rPr>
          <w:rFonts w:ascii="Times New Roman" w:cs="Times New Roman" w:eastAsia="Times New Roman" w:hAnsi="Times New Roman"/>
          <w:sz w:val="17"/>
          <w:szCs w:val="17"/>
          <w:color w:val="auto"/>
        </w:rPr>
        <w:t xml:space="preserve"> relate to certain activity to surrender leased space prior to its original lease expiration and the sale of certain assets. These adjustments can be highly variable and are excluded from our assessment of performance because they are considered non-operational in nature and, therefore, are not indicative of current or future performance.</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u w:val="single" w:color="auto"/>
          <w:color w:val="auto"/>
        </w:rPr>
        <w:t>Transaction-related costs</w:t>
      </w:r>
      <w:r>
        <w:rPr>
          <w:rFonts w:ascii="Times New Roman" w:cs="Times New Roman" w:eastAsia="Times New Roman" w:hAnsi="Times New Roman"/>
          <w:sz w:val="17"/>
          <w:szCs w:val="17"/>
          <w:color w:val="auto"/>
        </w:rPr>
        <w:t xml:space="preserve"> reflect third-party costs incurred in connection with acquisitions, dispositions and spinoffs that are not part of People Incorporated’s core operating activities.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u w:val="single" w:color="auto"/>
          <w:color w:val="auto"/>
        </w:rPr>
        <w:t>Litigation matters</w:t>
      </w:r>
      <w:r>
        <w:rPr>
          <w:rFonts w:ascii="Times New Roman" w:cs="Times New Roman" w:eastAsia="Times New Roman" w:hAnsi="Times New Roman"/>
          <w:sz w:val="17"/>
          <w:szCs w:val="17"/>
          <w:color w:val="auto"/>
        </w:rPr>
        <w:t xml:space="preserve"> reflect settlements, judgments, insurance recoveries and related third-party legal costs arising from certain litigation matters, including gains and losses that management determines, based on their nature and circumstances, are outside of the ordinary course of business and not representative of People Incorporated’s core ongoing operating performance.</w:t>
      </w:r>
    </w:p>
    <w:p>
      <w:pPr>
        <w:sectPr>
          <w:pgSz w:w="11900" w:h="16838" w:orient="portrait"/>
          <w:cols w:equalWidth="0" w:num="1">
            <w:col w:w="11240"/>
          </w:cols>
          <w:pgMar w:left="320" w:top="121" w:right="339" w:bottom="1440" w:gutter="0" w:footer="0" w:header="0"/>
        </w:sectPr>
      </w:pPr>
    </w:p>
    <w:bookmarkStart w:id="24" w:name="page25"/>
    <w:bookmarkEnd w:id="24"/>
    <w:p>
      <w:pPr>
        <w:ind w:left="9520"/>
        <w:spacing w:after="0"/>
        <w:rPr>
          <w:sz w:val="20"/>
          <w:szCs w:val="20"/>
          <w:color w:val="auto"/>
        </w:rPr>
      </w:pPr>
      <w:r>
        <w:rPr>
          <w:rFonts w:ascii="Times New Roman" w:cs="Times New Roman" w:eastAsia="Times New Roman" w:hAnsi="Times New Roman"/>
          <w:sz w:val="18"/>
          <w:szCs w:val="18"/>
          <w:color w:val="auto"/>
        </w:rPr>
        <w:t>Page 21 of 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Metric Definitions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Digital Revenue </w:t>
      </w:r>
      <w:r>
        <w:rPr>
          <w:rFonts w:ascii="Times New Roman" w:cs="Times New Roman" w:eastAsia="Times New Roman" w:hAnsi="Times New Roman"/>
          <w:sz w:val="18"/>
          <w:szCs w:val="18"/>
          <w:color w:val="auto"/>
        </w:rPr>
        <w:t>– Includes Advertising revenue, Performance marketing revenue and Licensing and other revenue.</w:t>
      </w:r>
    </w:p>
    <w:p>
      <w:pPr>
        <w:spacing w:after="0" w:line="214" w:lineRule="exact"/>
        <w:rPr>
          <w:sz w:val="20"/>
          <w:szCs w:val="20"/>
          <w:color w:val="auto"/>
        </w:rPr>
      </w:pPr>
    </w:p>
    <w:p>
      <w:pPr>
        <w:ind w:left="340" w:right="680" w:hanging="8"/>
        <w:spacing w:after="0" w:line="230" w:lineRule="auto"/>
        <w:tabs>
          <w:tab w:leader="none" w:pos="5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revenue </w:t>
      </w:r>
      <w:r>
        <w:rPr>
          <w:rFonts w:ascii="Times New Roman" w:cs="Times New Roman" w:eastAsia="Times New Roman" w:hAnsi="Times New Roman"/>
          <w:sz w:val="18"/>
          <w:szCs w:val="18"/>
          <w:color w:val="auto"/>
        </w:rPr>
        <w:t>– primarily includes revenue generated from digital advertisements and intent-based advertising targeting capabilities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(D/Cipher), which are sold directly to advertisers or through advertising agencies and programmatic advertising networks.</w:t>
      </w:r>
    </w:p>
    <w:p>
      <w:pPr>
        <w:spacing w:after="0" w:line="17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marketing revenue </w:t>
      </w:r>
      <w:r>
        <w:rPr>
          <w:rFonts w:ascii="Times New Roman" w:cs="Times New Roman" w:eastAsia="Times New Roman" w:hAnsi="Times New Roman"/>
          <w:sz w:val="18"/>
          <w:szCs w:val="18"/>
          <w:color w:val="auto"/>
        </w:rPr>
        <w:t>– primarily includes commissions generated through affiliate commerce, performance marketing services and</w:t>
      </w:r>
    </w:p>
    <w:p>
      <w:pPr>
        <w:ind w:left="340" w:right="8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affinity marketing channels. Affiliate commerce commission revenue is generated when People Inc.’s branded content refers consumers to commerce partner websites resulting in a purchase or transaction. Performance marketing services commission revenue is generated on a cost-per-click or cost-per-action basis. Affinity marketing programs are arrangements where People Inc. acts as an agent for both People Inc. and third-party publishers to market and place magazine subscriptions online for which commission revenue is earned when a subscriber name has been provided to the publisher.</w:t>
      </w:r>
    </w:p>
    <w:p>
      <w:pPr>
        <w:spacing w:after="0" w:line="169" w:lineRule="exact"/>
        <w:rPr>
          <w:rFonts w:ascii="Times New Roman" w:cs="Times New Roman" w:eastAsia="Times New Roman" w:hAnsi="Times New Roman"/>
          <w:sz w:val="18"/>
          <w:szCs w:val="18"/>
          <w:color w:val="auto"/>
        </w:rPr>
      </w:pPr>
    </w:p>
    <w:p>
      <w:pPr>
        <w:jc w:val="both"/>
        <w:ind w:left="340" w:right="100" w:hanging="8"/>
        <w:spacing w:after="0" w:line="217" w:lineRule="auto"/>
        <w:tabs>
          <w:tab w:leader="none" w:pos="5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and other revenue </w:t>
      </w:r>
      <w:r>
        <w:rPr>
          <w:rFonts w:ascii="Times New Roman" w:cs="Times New Roman" w:eastAsia="Times New Roman" w:hAnsi="Times New Roman"/>
          <w:sz w:val="18"/>
          <w:szCs w:val="18"/>
          <w:color w:val="auto"/>
        </w:rPr>
        <w:t>– primarily includes revenue generated through brand and content licensing and similar agreements. Brand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generates royalties from long-term trademark licensing agreements with retailers, service providers, publishers and manufacturers. Content licensing royalties are earned from our relationship with Apple News+ as well as other content use and distribution relationships, including utilization in large-language models and other artificial intelligence-related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Print Revenue – </w:t>
      </w:r>
      <w:r>
        <w:rPr>
          <w:rFonts w:ascii="Times New Roman" w:cs="Times New Roman" w:eastAsia="Times New Roman" w:hAnsi="Times New Roman"/>
          <w:sz w:val="18"/>
          <w:szCs w:val="18"/>
          <w:color w:val="auto"/>
        </w:rPr>
        <w:t>Primarily includes Subscription, Advertising, Newsstand, Project and other and Performance marketing revenue. Project and other</w:t>
      </w:r>
    </w:p>
    <w:p>
      <w:pPr>
        <w:ind w:right="480"/>
        <w:spacing w:after="0" w:line="218" w:lineRule="auto"/>
        <w:rPr>
          <w:sz w:val="20"/>
          <w:szCs w:val="20"/>
          <w:color w:val="auto"/>
        </w:rPr>
      </w:pPr>
      <w:r>
        <w:rPr>
          <w:rFonts w:ascii="Times New Roman" w:cs="Times New Roman" w:eastAsia="Times New Roman" w:hAnsi="Times New Roman"/>
          <w:sz w:val="18"/>
          <w:szCs w:val="18"/>
          <w:color w:val="auto"/>
        </w:rPr>
        <w:t>revenue primarily includes revenue from custom publishing. Performance marketing revenue includes revenue from marketing third-party magazine subscriptions.</w:t>
      </w:r>
    </w:p>
    <w:p>
      <w:pPr>
        <w:spacing w:after="0" w:line="180" w:lineRule="exact"/>
        <w:rPr>
          <w:sz w:val="20"/>
          <w:szCs w:val="20"/>
          <w:color w:val="auto"/>
        </w:rPr>
      </w:pPr>
    </w:p>
    <w:p>
      <w:pPr>
        <w:ind w:right="280"/>
        <w:spacing w:after="0" w:line="209" w:lineRule="auto"/>
        <w:rPr>
          <w:sz w:val="20"/>
          <w:szCs w:val="20"/>
          <w:color w:val="auto"/>
        </w:rPr>
      </w:pPr>
      <w:r>
        <w:rPr>
          <w:rFonts w:ascii="Times New Roman" w:cs="Times New Roman" w:eastAsia="Times New Roman" w:hAnsi="Times New Roman"/>
          <w:sz w:val="18"/>
          <w:szCs w:val="18"/>
          <w:b w:val="1"/>
          <w:bCs w:val="1"/>
          <w:color w:val="auto"/>
        </w:rPr>
        <w:t xml:space="preserve">Session-based Revenue – </w:t>
      </w:r>
      <w:r>
        <w:rPr>
          <w:rFonts w:ascii="Times New Roman" w:cs="Times New Roman" w:eastAsia="Times New Roman" w:hAnsi="Times New Roman"/>
          <w:sz w:val="18"/>
          <w:szCs w:val="18"/>
          <w:color w:val="auto"/>
        </w:rPr>
        <w:t>Represents revenue related to advertisements served or performance marketing referrals initiated during a session,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as a unique visit to a site that is part of People Inc.’s network. Session-based revenue includes Advertising and Performance marketing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from People Inc.’s owned and operated or affiliated sites.</w:t>
      </w:r>
    </w:p>
    <w:p>
      <w:pPr>
        <w:spacing w:after="0" w:line="188"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7"/>
          <w:szCs w:val="17"/>
          <w:b w:val="1"/>
          <w:bCs w:val="1"/>
          <w:color w:val="auto"/>
        </w:rPr>
        <w:t xml:space="preserve">Non-session-based Revenue – </w:t>
      </w:r>
      <w:r>
        <w:rPr>
          <w:rFonts w:ascii="Times New Roman" w:cs="Times New Roman" w:eastAsia="Times New Roman" w:hAnsi="Times New Roman"/>
          <w:sz w:val="17"/>
          <w:szCs w:val="17"/>
          <w:color w:val="auto"/>
        </w:rPr>
        <w:t>Represents revenue not dependent upon a session and primarily includes Advertising and Performance marketing revenue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earned outside a session on People Inc.’s owned and operated or affiliated sites, such as D/Cipher+, native campaigns, social platforms, email and affinity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and all Licensing and other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Sessions – </w:t>
      </w:r>
      <w:r>
        <w:rPr>
          <w:rFonts w:ascii="Times New Roman" w:cs="Times New Roman" w:eastAsia="Times New Roman" w:hAnsi="Times New Roman"/>
          <w:sz w:val="18"/>
          <w:szCs w:val="18"/>
          <w:color w:val="auto"/>
        </w:rPr>
        <w:t>Represents unique visits to all sites that are part of People Inc.’s network.</w:t>
      </w:r>
    </w:p>
    <w:p>
      <w:pPr>
        <w:spacing w:after="0" w:line="198"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Core Sessions – </w:t>
      </w:r>
      <w:r>
        <w:rPr>
          <w:rFonts w:ascii="Times New Roman" w:cs="Times New Roman" w:eastAsia="Times New Roman" w:hAnsi="Times New Roman"/>
          <w:sz w:val="18"/>
          <w:szCs w:val="18"/>
          <w:color w:val="auto"/>
        </w:rPr>
        <w:t>Represents a subset of Total Sessions that comprises unique visits to People Inc.’s most significant (in terms of investment) owned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sites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w:t>
            </w:r>
          </w:p>
        </w:tc>
        <w:tc>
          <w:tcPr>
            <w:tcW w:w="2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InStyle</w:t>
            </w:r>
          </w:p>
        </w:tc>
        <w:tc>
          <w:tcPr>
            <w:tcW w:w="4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Simply Recipes</w:t>
            </w: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Allrecipes</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Food &amp; Wine</w:t>
            </w:r>
          </w:p>
        </w:tc>
        <w:tc>
          <w:tcPr>
            <w:tcW w:w="4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Serious Eats</w:t>
            </w: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Investopedia</w:t>
            </w:r>
          </w:p>
        </w:tc>
        <w:tc>
          <w:tcPr>
            <w:tcW w:w="2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Martha Stewart</w:t>
            </w:r>
          </w:p>
        </w:tc>
        <w:tc>
          <w:tcPr>
            <w:tcW w:w="4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EatingWell</w:t>
            </w: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Better Homes &amp; Gardens</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Byrdie</w:t>
            </w:r>
          </w:p>
        </w:tc>
        <w:tc>
          <w:tcPr>
            <w:tcW w:w="4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Parents</w:t>
            </w: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Verywell Health</w:t>
            </w:r>
          </w:p>
        </w:tc>
        <w:tc>
          <w:tcPr>
            <w:tcW w:w="2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REAL SIMPLE</w:t>
            </w:r>
          </w:p>
        </w:tc>
        <w:tc>
          <w:tcPr>
            <w:tcW w:w="4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Verywell Mind</w:t>
            </w: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Spruce</w:t>
            </w: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Southern Living</w:t>
            </w:r>
          </w:p>
        </w:tc>
        <w:tc>
          <w:tcPr>
            <w:tcW w:w="4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Health</w:t>
            </w: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 Leisure</w:t>
            </w:r>
          </w:p>
        </w:tc>
        <w:tc>
          <w:tcPr>
            <w:tcW w:w="29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&amp; Other</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Vivian Health Revenue </w:t>
      </w:r>
      <w:r>
        <w:rPr>
          <w:rFonts w:ascii="Times New Roman" w:cs="Times New Roman" w:eastAsia="Times New Roman" w:hAnsi="Times New Roman"/>
          <w:sz w:val="18"/>
          <w:szCs w:val="18"/>
          <w:color w:val="auto"/>
        </w:rPr>
        <w:t>- Consists of subscription and usage revenue, which is generated through recruiting agencies and other employers that seek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qualified healthcare professionals.</w:t>
      </w:r>
    </w:p>
    <w:p>
      <w:pPr>
        <w:spacing w:after="0" w:line="168" w:lineRule="exact"/>
        <w:rPr>
          <w:sz w:val="20"/>
          <w:szCs w:val="20"/>
          <w:color w:val="auto"/>
        </w:rPr>
      </w:pPr>
    </w:p>
    <w:p>
      <w:pPr>
        <w:ind w:right="480"/>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The Daily Beast Revenue </w:t>
      </w:r>
      <w:r>
        <w:rPr>
          <w:rFonts w:ascii="Times New Roman" w:cs="Times New Roman" w:eastAsia="Times New Roman" w:hAnsi="Times New Roman"/>
          <w:sz w:val="18"/>
          <w:szCs w:val="18"/>
          <w:color w:val="auto"/>
        </w:rPr>
        <w:t>- Consists of advertising revenue, which is generated primarily through display advertisements (sold directly and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programmatic advertising networks), in addition to revenue generated through content licensing, in which licensing royalties are earned from the</w:t>
      </w:r>
    </w:p>
    <w:p>
      <w:pPr>
        <w:spacing w:after="0" w:line="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relationship with Apple News+, Yahoo, MSN as well as other content use and distribution relationships, including utilization in large-language models and other AI related activities. Further, to a lesser extent, subscription revenue and affiliate commerce commissions and event sponsorship revenue.</w:t>
      </w:r>
    </w:p>
    <w:p>
      <w:pPr>
        <w:sectPr>
          <w:pgSz w:w="11900" w:h="16838" w:orient="portrait"/>
          <w:cols w:equalWidth="0" w:num="1">
            <w:col w:w="11180"/>
          </w:cols>
          <w:pgMar w:left="320" w:top="121" w:right="399" w:bottom="1440" w:gutter="0" w:footer="0" w:header="0"/>
        </w:sectPr>
      </w:pPr>
    </w:p>
    <w:bookmarkStart w:id="25" w:name="page26"/>
    <w:bookmarkEnd w:id="25"/>
    <w:p>
      <w:pPr>
        <w:ind w:left="9520"/>
        <w:spacing w:after="0"/>
        <w:rPr>
          <w:sz w:val="20"/>
          <w:szCs w:val="20"/>
          <w:color w:val="auto"/>
        </w:rPr>
      </w:pPr>
      <w:r>
        <w:rPr>
          <w:rFonts w:ascii="Times New Roman" w:cs="Times New Roman" w:eastAsia="Times New Roman" w:hAnsi="Times New Roman"/>
          <w:sz w:val="18"/>
          <w:szCs w:val="18"/>
          <w:color w:val="auto"/>
        </w:rPr>
        <w:t>Page 22 of 22</w:t>
      </w:r>
    </w:p>
    <w:p>
      <w:pPr>
        <w:spacing w:after="0" w:line="200" w:lineRule="exact"/>
        <w:rPr>
          <w:sz w:val="20"/>
          <w:szCs w:val="20"/>
          <w:color w:val="auto"/>
        </w:rPr>
      </w:pPr>
    </w:p>
    <w:p>
      <w:pPr>
        <w:spacing w:after="0" w:line="3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 Harbor Statement Under the Private Securities Litigation Reform Act of 1995</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This press release and the People Incorporated conference call, which will be held at 8:30 a.m. Eastern Time on Tuesday November 3, 2026, may contain "forward-looking statements" within the meaning of the Private Securities Litigation Reform Act of 1995. The use of words such as "anticipates," "estimates," "expects," "plans," “guidance” and "believes," among others, generally identify forward-looking statements. These forward-looking statements include, among others, statements relating to: the planned corporate function consolidation, sales of any non-core assets, the future financial performance of People Incorporated, business prospects and strategy, anticipated trends and prospects in the industries in which People Incorporated operates and other similar matters. Actual results could differ materially from those contained in these forward-looking statements for a variety of reasons, including, among others: (i) the impact of advances in artificial intelligence (“AI”) and other digital technologies, including AI-enabled search features, on how users access and consume information and the resulting effects on traffic, engagement and monetization, (ii) our reliance on search engines and third-party platforms, including changes in algorithms, policies, economics or features (including those implemented by Google), as well as the potential expiration or modification of key commercial agreements, (iii) our ability to effectively market our products and services in a cost-efficient manner across evolving digital channels, (iv) our dependence on advertising revenue and the sensitivity of such revenue to macroeconomic conditions, including factors affecting advertiser demand, consumer confidence and discretionary spending, as well as geopolitical and broader market uncertainty, (v) our ability to adapt to changes in digital marketing practices, including limitations on data access, tracking technologies and targeting capabilities, (vi) our ability to develop, distribute and monetize our products and services across mobile and other platforms and maintain effective relationships with third-party partners, (vii) the continued growth, engagement and monetization of our digital publishing brands,</w:t>
      </w:r>
    </w:p>
    <w:p>
      <w:pPr>
        <w:spacing w:after="0" w:line="9" w:lineRule="exact"/>
        <w:rPr>
          <w:sz w:val="20"/>
          <w:szCs w:val="20"/>
          <w:color w:val="auto"/>
        </w:rPr>
      </w:pPr>
    </w:p>
    <w:p>
      <w:pPr>
        <w:jc w:val="both"/>
        <w:ind w:firstLine="8"/>
        <w:spacing w:after="0" w:line="237" w:lineRule="auto"/>
        <w:tabs>
          <w:tab w:leader="none" w:pos="37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Print business, including ongoing revenue declines, cost pressures (including paper and postage), and reliance on key vendors, (ix) our ability to access, collect, use and protect personal data and comply with evolving privacy and data protection laws and platform restrictions, (x) our ability to effectively engage with users and subscribers across communication channels, (xi) the concentration of voting control among our Chairman and Senior Executive and related parties, (xii) risks related to our liquidity and indebtedness, including our ability to service debt and comply with related covenants, as well as limitations on access to subsidiary cash flows,</w:t>
      </w:r>
    </w:p>
    <w:p>
      <w:pPr>
        <w:spacing w:after="0" w:line="2" w:lineRule="exact"/>
        <w:rPr>
          <w:rFonts w:ascii="Times New Roman" w:cs="Times New Roman" w:eastAsia="Times New Roman" w:hAnsi="Times New Roman"/>
          <w:sz w:val="16"/>
          <w:szCs w:val="16"/>
          <w:color w:val="auto"/>
        </w:rPr>
      </w:pPr>
    </w:p>
    <w:p>
      <w:pPr>
        <w:jc w:val="both"/>
        <w:ind w:firstLine="8"/>
        <w:spacing w:after="0" w:line="237" w:lineRule="auto"/>
        <w:tabs>
          <w:tab w:leader="none" w:pos="38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strategic transactions and initiatives, including our ability to realize anticipated benefits from prior transactions and execute future initiatives, (xiv) competitive pressures in rapidly evolving industries, including from larger or better-positioned competitors and AI-enabled offerings, (xv) our ability to build, maintain and protect our brands, (xvi) cybersecurity risks, including increasingly sophisticated attacks (including those enabled by AI) and vulnerabilities at third-party providers, (xvii) data security breaches, fraud and related liabilities, (xviii) risks associated with the integrity, scalability and reliability of our systems, technology and infrastructure, (xix) the impact of general economic, geopolitical and public health conditions, (xx) our dependence on key personnel and leadership transitions, (xxi) volatility in our stock price and risks related to our capital allocation strategy and (xxii) risks related to the Company’s ongoing corporate consolidation. Certain of these and other risks and uncertainties are described in People Incorporated’s filings with the Securities and Exchange Commission (the “SEC”), including the most recent Annual Report on Form 10-K filed with the SEC on February 20, 2026, and subsequent reports that People Incorporated files with the SEC. Other unknown or unpredictable factors that could also adversely affect People Incorporated's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press release.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People Incorporated</w:t>
      </w:r>
    </w:p>
    <w:p>
      <w:pPr>
        <w:spacing w:after="0" w:line="14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6"/>
          <w:szCs w:val="16"/>
          <w:color w:val="auto"/>
        </w:rPr>
        <w:t>People Incorporated (NASDAQ: PPLI) is the owner of People Inc., the largest digital and print publisher in America and home to more than 40 celebrated brands including PEOPLE, Food &amp; Wine, Travel + Leisure, InStyle, Better Homes &amp; Gardens, and Southern Living, attracting more than 175 million consumers each month. The Company also holds a significant minority stake in MGM Resorts International, reflecting our belief in the power and potential of businesses built around enduring consumer brands and iconic, real-world experiences. People Incorporated represents the latest evolution in a long tradition of entrepreneurial ownership, disciplined capital allocation, and opportunistic value creation. Over three decades, the Company has built, operated, invested in, and spun off many of the internet and media industry's defining businesses, and that same spirit of opportunism drives us today. People Incorporated is headquartered in New York City. Visit ir.people-incorporated.com.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Contact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 Incorporated Investor Relations</w:t>
      </w:r>
    </w:p>
    <w:p>
      <w:pPr>
        <w:spacing w:after="0" w:line="211" w:lineRule="auto"/>
        <w:rPr>
          <w:sz w:val="20"/>
          <w:szCs w:val="20"/>
          <w:color w:val="auto"/>
        </w:rPr>
      </w:pPr>
      <w:r>
        <w:rPr>
          <w:rFonts w:ascii="Times New Roman" w:cs="Times New Roman" w:eastAsia="Times New Roman" w:hAnsi="Times New Roman"/>
          <w:sz w:val="16"/>
          <w:szCs w:val="16"/>
          <w:color w:val="auto"/>
        </w:rPr>
        <w:t>Mark Schneider</w:t>
      </w:r>
    </w:p>
    <w:p>
      <w:pPr>
        <w:spacing w:after="0"/>
        <w:rPr>
          <w:sz w:val="20"/>
          <w:szCs w:val="20"/>
          <w:color w:val="auto"/>
        </w:rPr>
      </w:pPr>
      <w:r>
        <w:rPr>
          <w:rFonts w:ascii="Times New Roman" w:cs="Times New Roman" w:eastAsia="Times New Roman" w:hAnsi="Times New Roman"/>
          <w:sz w:val="16"/>
          <w:szCs w:val="16"/>
          <w:color w:val="auto"/>
        </w:rPr>
        <w:t>(212) 314-7400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 Incorporated Corporate Communications</w:t>
      </w:r>
    </w:p>
    <w:p>
      <w:pPr>
        <w:spacing w:after="0" w:line="211" w:lineRule="auto"/>
        <w:rPr>
          <w:sz w:val="20"/>
          <w:szCs w:val="20"/>
          <w:color w:val="auto"/>
        </w:rPr>
      </w:pPr>
      <w:r>
        <w:rPr>
          <w:rFonts w:ascii="Times New Roman" w:cs="Times New Roman" w:eastAsia="Times New Roman" w:hAnsi="Times New Roman"/>
          <w:sz w:val="16"/>
          <w:szCs w:val="16"/>
          <w:color w:val="auto"/>
        </w:rPr>
        <w:t>Valerie Combs</w:t>
      </w:r>
    </w:p>
    <w:p>
      <w:pPr>
        <w:spacing w:after="0"/>
        <w:rPr>
          <w:sz w:val="20"/>
          <w:szCs w:val="20"/>
          <w:color w:val="auto"/>
        </w:rPr>
      </w:pPr>
      <w:r>
        <w:rPr>
          <w:rFonts w:ascii="Times New Roman" w:cs="Times New Roman" w:eastAsia="Times New Roman" w:hAnsi="Times New Roman"/>
          <w:sz w:val="16"/>
          <w:szCs w:val="16"/>
          <w:color w:val="auto"/>
        </w:rPr>
        <w:t>(212) 314-7251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 Incorporated</w:t>
      </w:r>
    </w:p>
    <w:p>
      <w:pPr>
        <w:spacing w:after="0"/>
        <w:rPr>
          <w:sz w:val="20"/>
          <w:szCs w:val="20"/>
          <w:color w:val="auto"/>
        </w:rPr>
      </w:pPr>
      <w:r>
        <w:rPr>
          <w:rFonts w:ascii="Times New Roman" w:cs="Times New Roman" w:eastAsia="Times New Roman" w:hAnsi="Times New Roman"/>
          <w:sz w:val="16"/>
          <w:szCs w:val="16"/>
          <w:color w:val="auto"/>
        </w:rPr>
        <w:t>555 West 18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Street, New York, NY 10011 (212) 314-7300 </w:t>
      </w:r>
      <w:r>
        <w:rPr>
          <w:rFonts w:ascii="Times New Roman" w:cs="Times New Roman" w:eastAsia="Times New Roman" w:hAnsi="Times New Roman"/>
          <w:sz w:val="16"/>
          <w:szCs w:val="16"/>
          <w:color w:val="0000FF"/>
        </w:rPr>
        <w:t>http://ir.people-incorporated.com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
      <w:numFmt w:val="bullet"/>
      <w:start w:val="1"/>
    </w:lvl>
    <w:lvl w:ilvl="1">
      <w:lvlJc w:val="left"/>
      <w:lvlText w:val="◦"/>
      <w:numFmt w:val="bullet"/>
      <w:start w:val="1"/>
    </w:lvl>
  </w:abstractNum>
  <w:abstractNum w:abstractNumId="8">
    <w:nsid w:val="140E0F76"/>
    <w:multiLevelType w:val="hybridMultilevel"/>
    <w:lvl w:ilvl="0">
      <w:lvlJc w:val="left"/>
      <w:lvlText w:val="•"/>
      <w:numFmt w:val="bullet"/>
      <w:start w:val="1"/>
    </w:lvl>
    <w:lvl w:ilvl="1">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Roman"/>
      <w:start w:val="2"/>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Roman"/>
      <w:start w:val="8"/>
    </w:lvl>
  </w:abstractNum>
  <w:abstractNum w:abstractNumId="15">
    <w:nsid w:val="6B68079A"/>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2026-11-02T15:11:05Z</dcterms:created>
  <dcterms:modified xsi:type="dcterms:W3CDTF">2026-11-02T15:11:05Z</dcterms:modified>
</cp:coreProperties>
</file>