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60" w:type="dxa"/>
            <w:vAlign w:val="bottom"/>
            <w:gridSpan w:val="2"/>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As filed with the Securities and Exchange Commission on May 4, 2026</w:t>
            </w:r>
          </w:p>
        </w:tc>
        <w:tc>
          <w:tcPr>
            <w:tcW w:w="0" w:type="dxa"/>
            <w:vAlign w:val="bottom"/>
          </w:tcPr>
          <w:p>
            <w:pPr>
              <w:spacing w:after="0"/>
              <w:rPr>
                <w:sz w:val="1"/>
                <w:szCs w:val="1"/>
                <w:color w:val="auto"/>
              </w:rPr>
            </w:pPr>
          </w:p>
        </w:tc>
      </w:tr>
      <w:tr>
        <w:trPr>
          <w:trHeight w:val="440"/>
        </w:trPr>
        <w:tc>
          <w:tcPr>
            <w:tcW w:w="1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60" w:type="dxa"/>
            <w:vAlign w:val="bottom"/>
            <w:gridSpan w:val="2"/>
          </w:tcPr>
          <w:p>
            <w:pPr>
              <w:jc w:val="center"/>
              <w:ind w:right="1780"/>
              <w:spacing w:after="0"/>
              <w:rPr>
                <w:sz w:val="20"/>
                <w:szCs w:val="20"/>
                <w:color w:val="auto"/>
              </w:rPr>
            </w:pPr>
            <w:r>
              <w:rPr>
                <w:rFonts w:ascii="Times New Roman" w:cs="Times New Roman" w:eastAsia="Times New Roman" w:hAnsi="Times New Roman"/>
                <w:sz w:val="25"/>
                <w:szCs w:val="25"/>
                <w:b w:val="1"/>
                <w:bCs w:val="1"/>
                <w:color w:val="auto"/>
                <w:w w:val="98"/>
              </w:rPr>
              <w:t>UNITED STATES</w:t>
            </w:r>
          </w:p>
        </w:tc>
        <w:tc>
          <w:tcPr>
            <w:tcW w:w="0" w:type="dxa"/>
            <w:vAlign w:val="bottom"/>
          </w:tcPr>
          <w:p>
            <w:pPr>
              <w:spacing w:after="0"/>
              <w:rPr>
                <w:sz w:val="1"/>
                <w:szCs w:val="1"/>
                <w:color w:val="auto"/>
              </w:rPr>
            </w:pPr>
          </w:p>
        </w:tc>
      </w:tr>
      <w:tr>
        <w:trPr>
          <w:trHeight w:val="308"/>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60" w:type="dxa"/>
            <w:vAlign w:val="bottom"/>
            <w:gridSpan w:val="2"/>
          </w:tcPr>
          <w:p>
            <w:pPr>
              <w:jc w:val="center"/>
              <w:ind w:right="17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60" w:type="dxa"/>
            <w:vAlign w:val="bottom"/>
            <w:gridSpan w:val="2"/>
          </w:tcPr>
          <w:p>
            <w:pPr>
              <w:jc w:val="center"/>
              <w:ind w:right="1760"/>
              <w:spacing w:after="0"/>
              <w:rPr>
                <w:sz w:val="20"/>
                <w:szCs w:val="20"/>
                <w:color w:val="auto"/>
              </w:rPr>
            </w:pPr>
            <w:r>
              <w:rPr>
                <w:rFonts w:ascii="Times New Roman" w:cs="Times New Roman" w:eastAsia="Times New Roman" w:hAnsi="Times New Roman"/>
                <w:sz w:val="22"/>
                <w:szCs w:val="22"/>
                <w:b w:val="1"/>
                <w:bCs w:val="1"/>
                <w:color w:val="auto"/>
                <w:w w:val="97"/>
              </w:rPr>
              <w:t>Washington, D.C. 20549</w:t>
            </w:r>
          </w:p>
        </w:tc>
        <w:tc>
          <w:tcPr>
            <w:tcW w:w="0" w:type="dxa"/>
            <w:vAlign w:val="bottom"/>
          </w:tcPr>
          <w:p>
            <w:pPr>
              <w:spacing w:after="0"/>
              <w:rPr>
                <w:sz w:val="1"/>
                <w:szCs w:val="1"/>
                <w:color w:val="auto"/>
              </w:rPr>
            </w:pPr>
          </w:p>
        </w:tc>
      </w:tr>
      <w:tr>
        <w:trPr>
          <w:trHeight w:val="110"/>
        </w:trPr>
        <w:tc>
          <w:tcPr>
            <w:tcW w:w="1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8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60" w:type="dxa"/>
            <w:vAlign w:val="bottom"/>
            <w:gridSpan w:val="2"/>
          </w:tcPr>
          <w:p>
            <w:pPr>
              <w:jc w:val="center"/>
              <w:ind w:right="1780"/>
              <w:spacing w:after="0"/>
              <w:rPr>
                <w:sz w:val="20"/>
                <w:szCs w:val="20"/>
                <w:color w:val="auto"/>
              </w:rPr>
            </w:pPr>
            <w:r>
              <w:rPr>
                <w:rFonts w:ascii="Times New Roman" w:cs="Times New Roman" w:eastAsia="Times New Roman" w:hAnsi="Times New Roman"/>
                <w:sz w:val="22"/>
                <w:szCs w:val="22"/>
                <w:b w:val="1"/>
                <w:bCs w:val="1"/>
                <w:color w:val="auto"/>
                <w:w w:val="97"/>
              </w:rPr>
              <w:t>FORM 10-Q</w:t>
            </w:r>
          </w:p>
        </w:tc>
        <w:tc>
          <w:tcPr>
            <w:tcW w:w="0" w:type="dxa"/>
            <w:vAlign w:val="bottom"/>
          </w:tcPr>
          <w:p>
            <w:pPr>
              <w:spacing w:after="0"/>
              <w:rPr>
                <w:sz w:val="1"/>
                <w:szCs w:val="1"/>
                <w:color w:val="auto"/>
              </w:rPr>
            </w:pPr>
          </w:p>
        </w:tc>
      </w:tr>
      <w:tr>
        <w:trPr>
          <w:trHeight w:val="109"/>
        </w:trPr>
        <w:tc>
          <w:tcPr>
            <w:tcW w:w="1000" w:type="dxa"/>
            <w:vAlign w:val="bottom"/>
            <w:vMerge w:val="restart"/>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780" w:type="dxa"/>
            <w:vAlign w:val="bottom"/>
          </w:tcPr>
          <w:p>
            <w:pPr>
              <w:spacing w:after="0"/>
              <w:rPr>
                <w:sz w:val="9"/>
                <w:szCs w:val="9"/>
                <w:color w:val="auto"/>
              </w:rPr>
            </w:pPr>
          </w:p>
        </w:tc>
        <w:tc>
          <w:tcPr>
            <w:tcW w:w="768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3"/>
        </w:trPr>
        <w:tc>
          <w:tcPr>
            <w:tcW w:w="1000" w:type="dxa"/>
            <w:vAlign w:val="bottom"/>
            <w:vMerge w:val="continue"/>
          </w:tcPr>
          <w:p>
            <w:pPr>
              <w:spacing w:after="0"/>
              <w:rPr>
                <w:sz w:val="24"/>
                <w:szCs w:val="24"/>
                <w:color w:val="auto"/>
              </w:rPr>
            </w:pPr>
          </w:p>
        </w:tc>
        <w:tc>
          <w:tcPr>
            <w:tcW w:w="10240" w:type="dxa"/>
            <w:vAlign w:val="bottom"/>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60" w:type="dxa"/>
            <w:vAlign w:val="bottom"/>
            <w:gridSpan w:val="2"/>
          </w:tcPr>
          <w:p>
            <w:pPr>
              <w:jc w:val="center"/>
              <w:ind w:right="176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tc>
        <w:tc>
          <w:tcPr>
            <w:tcW w:w="0" w:type="dxa"/>
            <w:vAlign w:val="bottom"/>
          </w:tcPr>
          <w:p>
            <w:pPr>
              <w:spacing w:after="0"/>
              <w:rPr>
                <w:sz w:val="1"/>
                <w:szCs w:val="1"/>
                <w:color w:val="auto"/>
              </w:rPr>
            </w:pPr>
          </w:p>
        </w:tc>
      </w:tr>
      <w:tr>
        <w:trPr>
          <w:trHeight w:val="212"/>
        </w:trPr>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60" w:type="dxa"/>
            <w:vAlign w:val="bottom"/>
            <w:gridSpan w:val="2"/>
          </w:tcPr>
          <w:p>
            <w:pPr>
              <w:jc w:val="center"/>
              <w:ind w:right="1780"/>
              <w:spacing w:after="0"/>
              <w:rPr>
                <w:sz w:val="20"/>
                <w:szCs w:val="20"/>
                <w:color w:val="auto"/>
              </w:rPr>
            </w:pPr>
            <w:r>
              <w:rPr>
                <w:rFonts w:ascii="Times New Roman" w:cs="Times New Roman" w:eastAsia="Times New Roman" w:hAnsi="Times New Roman"/>
                <w:sz w:val="16"/>
                <w:szCs w:val="16"/>
                <w:b w:val="1"/>
                <w:bCs w:val="1"/>
                <w:color w:val="auto"/>
              </w:rPr>
              <w:t>Or</w:t>
            </w:r>
          </w:p>
        </w:tc>
        <w:tc>
          <w:tcPr>
            <w:tcW w:w="0" w:type="dxa"/>
            <w:vAlign w:val="bottom"/>
          </w:tcPr>
          <w:p>
            <w:pPr>
              <w:spacing w:after="0"/>
              <w:rPr>
                <w:sz w:val="1"/>
                <w:szCs w:val="1"/>
                <w:color w:val="auto"/>
              </w:rPr>
            </w:pPr>
          </w:p>
        </w:tc>
      </w:tr>
      <w:tr>
        <w:trPr>
          <w:trHeight w:val="385"/>
        </w:trPr>
        <w:tc>
          <w:tcPr>
            <w:tcW w:w="100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24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60" w:type="dxa"/>
            <w:vAlign w:val="bottom"/>
            <w:gridSpan w:val="2"/>
          </w:tcPr>
          <w:p>
            <w:pPr>
              <w:ind w:left="1220"/>
              <w:spacing w:after="0"/>
              <w:rPr>
                <w:sz w:val="20"/>
                <w:szCs w:val="20"/>
                <w:color w:val="auto"/>
              </w:rPr>
            </w:pPr>
            <w:r>
              <w:rPr>
                <w:rFonts w:ascii="Times New Roman" w:cs="Times New Roman" w:eastAsia="Times New Roman" w:hAnsi="Times New Roman"/>
                <w:sz w:val="17"/>
                <w:szCs w:val="17"/>
                <w:b w:val="1"/>
                <w:bCs w:val="1"/>
                <w:color w:val="auto"/>
              </w:rPr>
              <w:t>For the transition period from__________to__________</w:t>
            </w:r>
          </w:p>
        </w:tc>
        <w:tc>
          <w:tcPr>
            <w:tcW w:w="0" w:type="dxa"/>
            <w:vAlign w:val="bottom"/>
          </w:tcPr>
          <w:p>
            <w:pPr>
              <w:spacing w:after="0"/>
              <w:rPr>
                <w:sz w:val="1"/>
                <w:szCs w:val="1"/>
                <w:color w:val="auto"/>
              </w:rPr>
            </w:pPr>
          </w:p>
        </w:tc>
      </w:tr>
      <w:tr>
        <w:trPr>
          <w:trHeight w:val="320"/>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60" w:type="dxa"/>
            <w:vAlign w:val="bottom"/>
            <w:gridSpan w:val="2"/>
          </w:tcPr>
          <w:p>
            <w:pPr>
              <w:jc w:val="center"/>
              <w:ind w:right="1760"/>
              <w:spacing w:after="0"/>
              <w:rPr>
                <w:sz w:val="20"/>
                <w:szCs w:val="20"/>
                <w:color w:val="auto"/>
              </w:rPr>
            </w:pPr>
            <w:r>
              <w:rPr>
                <w:rFonts w:ascii="Times New Roman" w:cs="Times New Roman" w:eastAsia="Times New Roman" w:hAnsi="Times New Roman"/>
                <w:sz w:val="16"/>
                <w:szCs w:val="16"/>
                <w:b w:val="1"/>
                <w:bCs w:val="1"/>
                <w:color w:val="auto"/>
              </w:rPr>
              <w:t>Commission File No. 001-39356</w:t>
            </w:r>
          </w:p>
        </w:tc>
        <w:tc>
          <w:tcPr>
            <w:tcW w:w="0" w:type="dxa"/>
            <w:vAlign w:val="bottom"/>
          </w:tcPr>
          <w:p>
            <w:pPr>
              <w:spacing w:after="0"/>
              <w:rPr>
                <w:sz w:val="1"/>
                <w:szCs w:val="1"/>
                <w:color w:val="auto"/>
              </w:rPr>
            </w:pPr>
          </w:p>
        </w:tc>
      </w:tr>
      <w:tr>
        <w:trPr>
          <w:trHeight w:val="168"/>
        </w:trPr>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80" w:type="dxa"/>
            <w:vAlign w:val="bottom"/>
            <w:tcBorders>
              <w:bottom w:val="single" w:sz="8" w:color="auto"/>
            </w:tcBorders>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111760</wp:posOffset>
            </wp:positionV>
            <wp:extent cx="977265"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tbl>
      <w:tblPr>
        <w:tblLayout w:type="fixed"/>
        <w:tblInd w:w="40" w:type="dxa"/>
        <w:tblCellMar>
          <w:top w:w="0" w:type="dxa"/>
          <w:left w:w="0" w:type="dxa"/>
          <w:bottom w:w="0" w:type="dxa"/>
          <w:right w:w="0" w:type="dxa"/>
        </w:tblCellMar>
      </w:tblPr>
      <w:tr>
        <w:trPr>
          <w:trHeight w:val="286"/>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60" w:type="dxa"/>
            <w:vAlign w:val="bottom"/>
            <w:gridSpan w:val="3"/>
          </w:tcPr>
          <w:p>
            <w:pPr>
              <w:jc w:val="center"/>
              <w:ind w:right="840"/>
              <w:spacing w:after="0"/>
              <w:rPr>
                <w:sz w:val="20"/>
                <w:szCs w:val="20"/>
                <w:color w:val="auto"/>
              </w:rPr>
            </w:pPr>
            <w:r>
              <w:rPr>
                <w:rFonts w:ascii="Times New Roman" w:cs="Times New Roman" w:eastAsia="Times New Roman" w:hAnsi="Times New Roman"/>
                <w:sz w:val="22"/>
                <w:szCs w:val="22"/>
                <w:b w:val="1"/>
                <w:bCs w:val="1"/>
                <w:color w:val="auto"/>
                <w:w w:val="97"/>
              </w:rPr>
              <w:t>IAC Inc.</w:t>
            </w:r>
          </w:p>
        </w:tc>
        <w:tc>
          <w:tcPr>
            <w:tcW w:w="3600" w:type="dxa"/>
            <w:vAlign w:val="bottom"/>
          </w:tcPr>
          <w:p>
            <w:pPr>
              <w:spacing w:after="0"/>
              <w:rPr>
                <w:sz w:val="24"/>
                <w:szCs w:val="24"/>
                <w:color w:val="auto"/>
              </w:rPr>
            </w:pPr>
          </w:p>
        </w:tc>
      </w:tr>
      <w:tr>
        <w:trPr>
          <w:trHeight w:val="239"/>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600" w:type="dxa"/>
            <w:vAlign w:val="bottom"/>
          </w:tcPr>
          <w:p>
            <w:pPr>
              <w:spacing w:after="0"/>
              <w:rPr>
                <w:sz w:val="20"/>
                <w:szCs w:val="20"/>
                <w:color w:val="auto"/>
              </w:rPr>
            </w:pPr>
          </w:p>
        </w:tc>
      </w:tr>
      <w:tr>
        <w:trPr>
          <w:trHeight w:val="378"/>
        </w:trPr>
        <w:tc>
          <w:tcPr>
            <w:tcW w:w="3780" w:type="dxa"/>
            <w:vAlign w:val="bottom"/>
          </w:tcPr>
          <w:p>
            <w:pPr>
              <w:jc w:val="center"/>
              <w:ind w:left="162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6"/>
                <w:szCs w:val="16"/>
                <w:b w:val="1"/>
                <w:bCs w:val="1"/>
                <w:color w:val="auto"/>
              </w:rPr>
              <w:t>84-3727412</w:t>
            </w:r>
          </w:p>
        </w:tc>
      </w:tr>
      <w:tr>
        <w:trPr>
          <w:trHeight w:val="168"/>
        </w:trPr>
        <w:tc>
          <w:tcPr>
            <w:tcW w:w="3780" w:type="dxa"/>
            <w:vAlign w:val="bottom"/>
          </w:tcPr>
          <w:p>
            <w:pPr>
              <w:ind w:left="1820"/>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0" w:type="dxa"/>
            <w:vAlign w:val="bottom"/>
          </w:tcPr>
          <w:p>
            <w:pPr>
              <w:jc w:val="center"/>
              <w:ind w:right="1863"/>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780" w:type="dxa"/>
            <w:vAlign w:val="bottom"/>
          </w:tcPr>
          <w:p>
            <w:pPr>
              <w:jc w:val="center"/>
              <w:ind w:left="1623"/>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29"/>
        </w:trPr>
        <w:tc>
          <w:tcPr>
            <w:tcW w:w="3780" w:type="dxa"/>
            <w:vAlign w:val="bottom"/>
          </w:tcPr>
          <w:p>
            <w:pPr>
              <w:spacing w:after="0"/>
              <w:rPr>
                <w:sz w:val="24"/>
                <w:szCs w:val="24"/>
                <w:color w:val="auto"/>
              </w:rPr>
            </w:pPr>
          </w:p>
        </w:tc>
        <w:tc>
          <w:tcPr>
            <w:tcW w:w="380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555 West 18th Street, New York, New York 10011</w:t>
            </w:r>
          </w:p>
        </w:tc>
        <w:tc>
          <w:tcPr>
            <w:tcW w:w="3600" w:type="dxa"/>
            <w:vAlign w:val="bottom"/>
          </w:tcPr>
          <w:p>
            <w:pPr>
              <w:spacing w:after="0"/>
              <w:rPr>
                <w:sz w:val="24"/>
                <w:szCs w:val="24"/>
                <w:color w:val="auto"/>
              </w:rPr>
            </w:pPr>
          </w:p>
        </w:tc>
      </w:tr>
      <w:tr>
        <w:trPr>
          <w:trHeight w:val="200"/>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(Address of registrant’s principal executive offices)</w:t>
            </w:r>
          </w:p>
        </w:tc>
        <w:tc>
          <w:tcPr>
            <w:tcW w:w="3600" w:type="dxa"/>
            <w:vAlign w:val="bottom"/>
          </w:tcPr>
          <w:p>
            <w:pPr>
              <w:spacing w:after="0"/>
              <w:rPr>
                <w:sz w:val="17"/>
                <w:szCs w:val="17"/>
                <w:color w:val="auto"/>
              </w:rPr>
            </w:pPr>
          </w:p>
        </w:tc>
      </w:tr>
      <w:tr>
        <w:trPr>
          <w:trHeight w:val="191"/>
        </w:trPr>
        <w:tc>
          <w:tcPr>
            <w:tcW w:w="3780" w:type="dxa"/>
            <w:vAlign w:val="bottom"/>
          </w:tcPr>
          <w:p>
            <w:pPr>
              <w:spacing w:after="0"/>
              <w:rPr>
                <w:sz w:val="16"/>
                <w:szCs w:val="16"/>
                <w:color w:val="auto"/>
              </w:rPr>
            </w:pPr>
          </w:p>
        </w:tc>
        <w:tc>
          <w:tcPr>
            <w:tcW w:w="2960" w:type="dxa"/>
            <w:vAlign w:val="bottom"/>
            <w:gridSpan w:val="3"/>
          </w:tcPr>
          <w:p>
            <w:pPr>
              <w:jc w:val="center"/>
              <w:ind w:left="583"/>
              <w:spacing w:after="0"/>
              <w:rPr>
                <w:sz w:val="20"/>
                <w:szCs w:val="20"/>
                <w:color w:val="auto"/>
              </w:rPr>
            </w:pPr>
            <w:r>
              <w:rPr>
                <w:rFonts w:ascii="Times New Roman" w:cs="Times New Roman" w:eastAsia="Times New Roman" w:hAnsi="Times New Roman"/>
                <w:sz w:val="16"/>
                <w:szCs w:val="16"/>
                <w:b w:val="1"/>
                <w:bCs w:val="1"/>
                <w:color w:val="auto"/>
              </w:rPr>
              <w:t>(212) 314-7300</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10"/>
        </w:trPr>
        <w:tc>
          <w:tcPr>
            <w:tcW w:w="3780" w:type="dxa"/>
            <w:vAlign w:val="bottom"/>
          </w:tcPr>
          <w:p>
            <w:pPr>
              <w:spacing w:after="0"/>
              <w:rPr>
                <w:sz w:val="18"/>
                <w:szCs w:val="18"/>
                <w:color w:val="auto"/>
              </w:rPr>
            </w:pPr>
          </w:p>
        </w:tc>
        <w:tc>
          <w:tcPr>
            <w:tcW w:w="380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600" w:type="dxa"/>
            <w:vAlign w:val="bottom"/>
          </w:tcPr>
          <w:p>
            <w:pPr>
              <w:spacing w:after="0"/>
              <w:rPr>
                <w:sz w:val="18"/>
                <w:szCs w:val="18"/>
                <w:color w:val="auto"/>
              </w:rPr>
            </w:pPr>
          </w:p>
        </w:tc>
      </w:tr>
      <w:tr>
        <w:trPr>
          <w:trHeight w:val="307"/>
        </w:trPr>
        <w:tc>
          <w:tcPr>
            <w:tcW w:w="3780" w:type="dxa"/>
            <w:vAlign w:val="bottom"/>
          </w:tcPr>
          <w:p>
            <w:pPr>
              <w:spacing w:after="0"/>
              <w:rPr>
                <w:sz w:val="24"/>
                <w:szCs w:val="24"/>
                <w:color w:val="auto"/>
              </w:rPr>
            </w:pPr>
          </w:p>
        </w:tc>
        <w:tc>
          <w:tcPr>
            <w:tcW w:w="38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600" w:type="dxa"/>
            <w:vAlign w:val="bottom"/>
          </w:tcPr>
          <w:p>
            <w:pPr>
              <w:spacing w:after="0"/>
              <w:rPr>
                <w:sz w:val="24"/>
                <w:szCs w:val="24"/>
                <w:color w:val="auto"/>
              </w:rPr>
            </w:pPr>
          </w:p>
        </w:tc>
      </w:tr>
      <w:tr>
        <w:trPr>
          <w:trHeight w:val="203"/>
        </w:trPr>
        <w:tc>
          <w:tcPr>
            <w:tcW w:w="3780" w:type="dxa"/>
            <w:vAlign w:val="bottom"/>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6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00" w:type="dxa"/>
            <w:vAlign w:val="bottom"/>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r>
      <w:tr>
        <w:trPr>
          <w:trHeight w:val="182"/>
        </w:trPr>
        <w:tc>
          <w:tcPr>
            <w:tcW w:w="3780" w:type="dxa"/>
            <w:vAlign w:val="bottom"/>
            <w:tcBorders>
              <w:top w:val="single" w:sz="8" w:color="auto"/>
            </w:tcBorders>
          </w:tcPr>
          <w:p>
            <w:pPr>
              <w:jc w:val="center"/>
              <w:ind w:left="43"/>
              <w:spacing w:after="0"/>
              <w:rPr>
                <w:sz w:val="20"/>
                <w:szCs w:val="20"/>
                <w:color w:val="auto"/>
              </w:rPr>
            </w:pPr>
            <w:r>
              <w:rPr>
                <w:rFonts w:ascii="Times New Roman" w:cs="Times New Roman" w:eastAsia="Times New Roman" w:hAnsi="Times New Roman"/>
                <w:sz w:val="14"/>
                <w:szCs w:val="14"/>
                <w:color w:val="auto"/>
              </w:rPr>
              <w:t>Common stock, par value $0.0001</w:t>
            </w:r>
          </w:p>
        </w:tc>
        <w:tc>
          <w:tcPr>
            <w:tcW w:w="12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IAC</w:t>
            </w:r>
          </w:p>
        </w:tc>
        <w:tc>
          <w:tcPr>
            <w:tcW w:w="5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600" w:type="dxa"/>
            <w:vAlign w:val="bottom"/>
            <w:tcBorders>
              <w:top w:val="single" w:sz="8" w:color="auto"/>
            </w:tcBorders>
          </w:tcPr>
          <w:p>
            <w:pPr>
              <w:jc w:val="center"/>
              <w:ind w:right="263"/>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370"/>
        </w:trPr>
        <w:tc>
          <w:tcPr>
            <w:tcW w:w="3780" w:type="dxa"/>
            <w:vAlign w:val="bottom"/>
          </w:tcPr>
          <w:p>
            <w:pPr>
              <w:spacing w:after="0"/>
              <w:rPr>
                <w:sz w:val="24"/>
                <w:szCs w:val="24"/>
                <w:color w:val="auto"/>
              </w:rPr>
            </w:pPr>
          </w:p>
        </w:tc>
        <w:tc>
          <w:tcPr>
            <w:tcW w:w="38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600" w:type="dxa"/>
            <w:vAlign w:val="bottom"/>
          </w:tcPr>
          <w:p>
            <w:pPr>
              <w:spacing w:after="0"/>
              <w:rPr>
                <w:sz w:val="24"/>
                <w:szCs w:val="24"/>
                <w:color w:val="auto"/>
              </w:rPr>
            </w:pPr>
          </w:p>
        </w:tc>
      </w:tr>
      <w:tr>
        <w:trPr>
          <w:trHeight w:val="188"/>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1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color w:val="auto"/>
              </w:rPr>
              <w:t>None</w:t>
            </w:r>
          </w:p>
        </w:tc>
        <w:tc>
          <w:tcPr>
            <w:tcW w:w="3600" w:type="dxa"/>
            <w:vAlign w:val="bottom"/>
          </w:tcPr>
          <w:p>
            <w:pPr>
              <w:spacing w:after="0"/>
              <w:rPr>
                <w:sz w:val="16"/>
                <w:szCs w:val="16"/>
                <w:color w:val="auto"/>
              </w:rPr>
            </w:pPr>
          </w:p>
        </w:tc>
      </w:tr>
    </w:tbl>
    <w:p>
      <w:pPr>
        <w:spacing w:after="0" w:line="41" w:lineRule="exact"/>
        <w:rPr>
          <w:sz w:val="24"/>
          <w:szCs w:val="24"/>
          <w:color w:val="auto"/>
        </w:rPr>
      </w:pPr>
    </w:p>
    <w:p>
      <w:pPr>
        <w:ind w:right="140" w:firstLine="486"/>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20" w:firstLine="486"/>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60" w:firstLine="486"/>
        <w:spacing w:after="0" w:line="29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80"/>
        <w:spacing w:after="0" w:line="161" w:lineRule="exact"/>
        <w:tabs>
          <w:tab w:leader="none" w:pos="1860" w:val="left"/>
          <w:tab w:leader="none" w:pos="2360" w:val="left"/>
          <w:tab w:leader="none" w:pos="3580" w:val="left"/>
          <w:tab w:leader="none" w:pos="4160" w:val="left"/>
          <w:tab w:leader="none" w:pos="5680" w:val="left"/>
          <w:tab w:leader="none" w:pos="6320" w:val="left"/>
          <w:tab w:leader="none" w:pos="8280" w:val="left"/>
          <w:tab w:leader="none" w:pos="8940" w:val="left"/>
          <w:tab w:leader="none" w:pos="109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302" w:lineRule="exact"/>
        <w:rPr>
          <w:sz w:val="24"/>
          <w:szCs w:val="24"/>
          <w:color w:val="auto"/>
        </w:rPr>
      </w:pPr>
    </w:p>
    <w:p>
      <w:pPr>
        <w:ind w:right="80" w:firstLine="486"/>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7500" w:type="dxa"/>
            <w:vAlign w:val="bottom"/>
          </w:tcPr>
          <w:p>
            <w:pPr>
              <w:ind w:left="50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p>
        </w:tc>
        <w:tc>
          <w:tcPr>
            <w:tcW w:w="3740" w:type="dxa"/>
            <w:vAlign w:val="bottom"/>
            <w:gridSpan w:val="2"/>
          </w:tcPr>
          <w:p>
            <w:pPr>
              <w:jc w:val="right"/>
              <w:ind w:right="3248"/>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62"/>
        </w:trPr>
        <w:tc>
          <w:tcPr>
            <w:tcW w:w="75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As of May 1, 2026, the following shares of the registrant’s common stock were outstanding:</w:t>
            </w:r>
          </w:p>
        </w:tc>
        <w:tc>
          <w:tcPr>
            <w:tcW w:w="26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31"/>
        </w:trPr>
        <w:tc>
          <w:tcPr>
            <w:tcW w:w="75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0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68,590,555</w:t>
            </w:r>
          </w:p>
        </w:tc>
      </w:tr>
      <w:tr>
        <w:trPr>
          <w:trHeight w:val="196"/>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5,789,499</w:t>
            </w:r>
          </w:p>
        </w:tc>
      </w:tr>
      <w:tr>
        <w:trPr>
          <w:trHeight w:val="228"/>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74,380,054</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75"/>
        </w:trPr>
        <w:tc>
          <w:tcPr>
            <w:tcW w:w="75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80" w:type="dxa"/>
            <w:vAlign w:val="bottom"/>
            <w:gridSpan w:val="16"/>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2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20" w:type="dxa"/>
            <w:vAlign w:val="bottom"/>
            <w:gridSpan w:val="12"/>
          </w:tcPr>
          <w:p>
            <w:pPr>
              <w:jc w:val="center"/>
              <w:ind w:right="3760"/>
              <w:spacing w:after="0" w:line="176"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240" w:type="dxa"/>
            <w:vAlign w:val="bottom"/>
            <w:gridSpan w:val="2"/>
          </w:tcPr>
          <w:p>
            <w:pPr>
              <w:spacing w:after="0"/>
              <w:rPr>
                <w:sz w:val="18"/>
                <w:szCs w:val="18"/>
                <w:color w:val="auto"/>
              </w:rPr>
            </w:pPr>
          </w:p>
        </w:tc>
        <w:tc>
          <w:tcPr>
            <w:tcW w:w="2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Financial Statements</w:t>
            </w:r>
          </w:p>
        </w:tc>
        <w:tc>
          <w:tcPr>
            <w:tcW w:w="1080" w:type="dxa"/>
            <w:vAlign w:val="bottom"/>
            <w:gridSpan w:val="9"/>
          </w:tcPr>
          <w:p>
            <w:pPr>
              <w:spacing w:after="0"/>
              <w:rPr>
                <w:sz w:val="18"/>
                <w:szCs w:val="18"/>
                <w:color w:val="auto"/>
              </w:rPr>
            </w:pPr>
          </w:p>
        </w:tc>
        <w:tc>
          <w:tcPr>
            <w:tcW w:w="560" w:type="dxa"/>
            <w:vAlign w:val="bottom"/>
            <w:tcBorders>
              <w:top w:val="single" w:sz="8" w:color="0000FF"/>
            </w:tcBorders>
            <w:gridSpan w:val="4"/>
          </w:tcPr>
          <w:p>
            <w:pPr>
              <w:spacing w:after="0"/>
              <w:rPr>
                <w:sz w:val="18"/>
                <w:szCs w:val="18"/>
                <w:color w:val="auto"/>
              </w:rPr>
            </w:pPr>
          </w:p>
        </w:tc>
        <w:tc>
          <w:tcPr>
            <w:tcW w:w="3800" w:type="dxa"/>
            <w:vAlign w:val="bottom"/>
            <w:gridSpan w:val="7"/>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Consolidated Balance Sheet</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 of Operations</w:t>
            </w:r>
          </w:p>
        </w:tc>
        <w:tc>
          <w:tcPr>
            <w:tcW w:w="5080" w:type="dxa"/>
            <w:vAlign w:val="bottom"/>
            <w:gridSpan w:val="16"/>
          </w:tcPr>
          <w:p>
            <w:pPr>
              <w:spacing w:after="0"/>
              <w:rPr>
                <w:sz w:val="18"/>
                <w:szCs w:val="18"/>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Consolidated Statement of Comprehensive Operations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Consolidated Statement of Shareholders' Equity</w:t>
            </w:r>
          </w:p>
        </w:tc>
        <w:tc>
          <w:tcPr>
            <w:tcW w:w="440" w:type="dxa"/>
            <w:vAlign w:val="bottom"/>
            <w:gridSpan w:val="3"/>
          </w:tcPr>
          <w:p>
            <w:pPr>
              <w:spacing w:after="0"/>
              <w:rPr>
                <w:sz w:val="18"/>
                <w:szCs w:val="18"/>
                <w:color w:val="auto"/>
              </w:rPr>
            </w:pPr>
          </w:p>
        </w:tc>
        <w:tc>
          <w:tcPr>
            <w:tcW w:w="3920" w:type="dxa"/>
            <w:vAlign w:val="bottom"/>
            <w:gridSpan w:val="8"/>
          </w:tcPr>
          <w:p>
            <w:pPr>
              <w:spacing w:after="0"/>
              <w:rPr>
                <w:sz w:val="18"/>
                <w:szCs w:val="18"/>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Statement of Cash Flows</w:t>
            </w:r>
          </w:p>
        </w:tc>
        <w:tc>
          <w:tcPr>
            <w:tcW w:w="4360" w:type="dxa"/>
            <w:vAlign w:val="bottom"/>
            <w:gridSpan w:val="11"/>
          </w:tcPr>
          <w:p>
            <w:pPr>
              <w:spacing w:after="0"/>
              <w:rPr>
                <w:sz w:val="18"/>
                <w:szCs w:val="18"/>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9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w w:val="99"/>
              </w:rPr>
              <w:t>Note 1—The Company and Summary of Significant Accounting Policies</w:t>
            </w:r>
          </w:p>
        </w:tc>
        <w:tc>
          <w:tcPr>
            <w:tcW w:w="2560" w:type="dxa"/>
            <w:vAlign w:val="bottom"/>
            <w:gridSpan w:val="2"/>
          </w:tcPr>
          <w:p>
            <w:pPr>
              <w:spacing w:after="0"/>
              <w:rPr>
                <w:sz w:val="18"/>
                <w:szCs w:val="18"/>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Note 2—Financial Instruments and Fair Value Measurements</w:t>
            </w:r>
          </w:p>
        </w:tc>
        <w:tc>
          <w:tcPr>
            <w:tcW w:w="2560" w:type="dxa"/>
            <w:vAlign w:val="bottom"/>
            <w:gridSpan w:val="2"/>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 3—Long-term Debt</w:t>
            </w:r>
          </w:p>
        </w:tc>
        <w:tc>
          <w:tcPr>
            <w:tcW w:w="2580" w:type="dxa"/>
            <w:vAlign w:val="bottom"/>
            <w:tcBorders>
              <w:top w:val="single" w:sz="8" w:color="0000FF"/>
            </w:tcBorders>
            <w:gridSpan w:val="20"/>
          </w:tcPr>
          <w:p>
            <w:pPr>
              <w:spacing w:after="0"/>
              <w:rPr>
                <w:sz w:val="18"/>
                <w:szCs w:val="18"/>
                <w:color w:val="auto"/>
              </w:rPr>
            </w:pPr>
          </w:p>
        </w:tc>
        <w:tc>
          <w:tcPr>
            <w:tcW w:w="3420" w:type="dxa"/>
            <w:vAlign w:val="bottom"/>
            <w:gridSpan w:val="3"/>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Note 4—Accumulated Other Comprehensive Loss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Note 5—Segment Information</w:t>
            </w:r>
          </w:p>
        </w:tc>
        <w:tc>
          <w:tcPr>
            <w:tcW w:w="4200" w:type="dxa"/>
            <w:vAlign w:val="bottom"/>
            <w:gridSpan w:val="10"/>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Note 6—Pension and Post-Retirement Benefit Plans</w:t>
            </w:r>
          </w:p>
        </w:tc>
        <w:tc>
          <w:tcPr>
            <w:tcW w:w="4060" w:type="dxa"/>
            <w:vAlign w:val="bottom"/>
            <w:gridSpan w:val="9"/>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Note 7—Income Taxes</w:t>
            </w:r>
          </w:p>
        </w:tc>
        <w:tc>
          <w:tcPr>
            <w:tcW w:w="6160" w:type="dxa"/>
            <w:vAlign w:val="bottom"/>
            <w:gridSpan w:val="26"/>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 8—Loss Per Share</w:t>
            </w:r>
          </w:p>
        </w:tc>
        <w:tc>
          <w:tcPr>
            <w:tcW w:w="6080" w:type="dxa"/>
            <w:vAlign w:val="bottom"/>
            <w:gridSpan w:val="25"/>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Note 9—Financial Statement Details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 10—Contingencies</w:t>
            </w:r>
          </w:p>
        </w:tc>
        <w:tc>
          <w:tcPr>
            <w:tcW w:w="860" w:type="dxa"/>
            <w:vAlign w:val="bottom"/>
            <w:tcBorders>
              <w:top w:val="single" w:sz="8" w:color="0000FF"/>
            </w:tcBorders>
            <w:gridSpan w:val="6"/>
          </w:tcPr>
          <w:p>
            <w:pPr>
              <w:spacing w:after="0"/>
              <w:rPr>
                <w:sz w:val="18"/>
                <w:szCs w:val="18"/>
                <w:color w:val="auto"/>
              </w:rPr>
            </w:pPr>
          </w:p>
        </w:tc>
        <w:tc>
          <w:tcPr>
            <w:tcW w:w="5180" w:type="dxa"/>
            <w:vAlign w:val="bottom"/>
            <w:gridSpan w:val="18"/>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Note 11—Related Party Transactions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 12—Discontinued Operations</w:t>
            </w:r>
          </w:p>
        </w:tc>
        <w:tc>
          <w:tcPr>
            <w:tcW w:w="120" w:type="dxa"/>
            <w:vAlign w:val="bottom"/>
            <w:tcBorders>
              <w:top w:val="single" w:sz="8" w:color="0000FF"/>
            </w:tcBorders>
            <w:gridSpan w:val="2"/>
          </w:tcPr>
          <w:p>
            <w:pPr>
              <w:spacing w:after="0"/>
              <w:rPr>
                <w:sz w:val="18"/>
                <w:szCs w:val="18"/>
                <w:color w:val="auto"/>
              </w:rPr>
            </w:pPr>
          </w:p>
        </w:tc>
        <w:tc>
          <w:tcPr>
            <w:tcW w:w="5160" w:type="dxa"/>
            <w:vAlign w:val="bottom"/>
            <w:gridSpan w:val="17"/>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Note 13—People Inc. Financial Information</w:t>
            </w:r>
          </w:p>
        </w:tc>
        <w:tc>
          <w:tcPr>
            <w:tcW w:w="4640" w:type="dxa"/>
            <w:vAlign w:val="bottom"/>
            <w:gridSpan w:val="13"/>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40" w:type="dxa"/>
            <w:vAlign w:val="bottom"/>
            <w:gridSpan w:val="2"/>
          </w:tcPr>
          <w:p>
            <w:pPr>
              <w:spacing w:after="0"/>
              <w:rPr>
                <w:sz w:val="18"/>
                <w:szCs w:val="18"/>
                <w:color w:val="auto"/>
              </w:rPr>
            </w:pPr>
          </w:p>
        </w:tc>
        <w:tc>
          <w:tcPr>
            <w:tcW w:w="644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120" w:type="dxa"/>
            <w:vAlign w:val="bottom"/>
          </w:tcPr>
          <w:p>
            <w:pPr>
              <w:spacing w:after="0"/>
              <w:rPr>
                <w:sz w:val="18"/>
                <w:szCs w:val="18"/>
                <w:color w:val="auto"/>
              </w:rPr>
            </w:pPr>
          </w:p>
        </w:tc>
        <w:tc>
          <w:tcPr>
            <w:tcW w:w="43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580" w:type="dxa"/>
            <w:vAlign w:val="bottom"/>
            <w:gridSpan w:val="4"/>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79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40" w:type="dxa"/>
            <w:vAlign w:val="bottom"/>
            <w:gridSpan w:val="13"/>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13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120" w:type="dxa"/>
            <w:vAlign w:val="bottom"/>
          </w:tcPr>
          <w:p>
            <w:pPr>
              <w:spacing w:after="0"/>
              <w:rPr>
                <w:sz w:val="18"/>
                <w:szCs w:val="18"/>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180" w:type="dxa"/>
            <w:vAlign w:val="bottom"/>
            <w:gridSpan w:val="16"/>
          </w:tcPr>
          <w:p>
            <w:pPr>
              <w:spacing w:after="0"/>
              <w:rPr>
                <w:sz w:val="18"/>
                <w:szCs w:val="18"/>
                <w:color w:val="auto"/>
              </w:rPr>
            </w:pPr>
          </w:p>
        </w:tc>
        <w:tc>
          <w:tcPr>
            <w:tcW w:w="660" w:type="dxa"/>
            <w:vAlign w:val="bottom"/>
            <w:tcBorders>
              <w:top w:val="single" w:sz="8" w:color="0000FF"/>
            </w:tcBorders>
            <w:gridSpan w:val="6"/>
          </w:tcPr>
          <w:p>
            <w:pPr>
              <w:spacing w:after="0"/>
              <w:rPr>
                <w:sz w:val="18"/>
                <w:szCs w:val="18"/>
                <w:color w:val="auto"/>
              </w:rPr>
            </w:pPr>
          </w:p>
        </w:tc>
        <w:tc>
          <w:tcPr>
            <w:tcW w:w="3760" w:type="dxa"/>
            <w:vAlign w:val="bottom"/>
            <w:gridSpan w:val="6"/>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79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24"/>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9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1240" w:type="dxa"/>
            <w:vAlign w:val="bottom"/>
            <w:gridSpan w:val="2"/>
          </w:tcPr>
          <w:p>
            <w:pPr>
              <w:spacing w:after="0"/>
              <w:rPr>
                <w:sz w:val="18"/>
                <w:szCs w:val="18"/>
                <w:color w:val="auto"/>
              </w:rPr>
            </w:pP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24"/>
          </w:tcPr>
          <w:p>
            <w:pPr>
              <w:spacing w:after="0"/>
              <w:rPr>
                <w:sz w:val="18"/>
                <w:szCs w:val="18"/>
                <w:color w:val="auto"/>
              </w:rPr>
            </w:pPr>
          </w:p>
        </w:tc>
        <w:tc>
          <w:tcPr>
            <w:tcW w:w="3600" w:type="dxa"/>
            <w:vAlign w:val="bottom"/>
            <w:gridSpan w:val="5"/>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1240" w:type="dxa"/>
            <w:vAlign w:val="bottom"/>
            <w:gridSpan w:val="2"/>
          </w:tcPr>
          <w:p>
            <w:pPr>
              <w:spacing w:after="0"/>
              <w:rPr>
                <w:sz w:val="18"/>
                <w:szCs w:val="18"/>
                <w:color w:val="auto"/>
              </w:rPr>
            </w:pPr>
          </w:p>
        </w:tc>
        <w:tc>
          <w:tcPr>
            <w:tcW w:w="79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80" w:type="dxa"/>
            <w:vAlign w:val="bottom"/>
            <w:gridSpan w:val="31"/>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9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8"/>
                <w:szCs w:val="18"/>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Consolidated Financial Statements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IAC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(In thousands, except par value amounts)</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1,112,445</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941,311</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416,617</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102,188</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 of discontinued operations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84,633</w:t>
            </w:r>
          </w:p>
        </w:tc>
        <w:tc>
          <w:tcPr>
            <w:tcW w:w="0" w:type="dxa"/>
            <w:vAlign w:val="bottom"/>
          </w:tcPr>
          <w:p>
            <w:pPr>
              <w:spacing w:after="0"/>
              <w:rPr>
                <w:sz w:val="1"/>
                <w:szCs w:val="1"/>
                <w:color w:val="auto"/>
              </w:rPr>
            </w:pPr>
          </w:p>
        </w:tc>
      </w:tr>
      <w:tr>
        <w:trPr>
          <w:trHeight w:val="189"/>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1,550,621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1,544,749</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land, equipment, leasehold improvements and capitalized software, net</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284,394</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1,507,911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1,508,030</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394,381</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MGM Resorts International</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2,473,095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2,401,858</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investments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409,240</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225,306</w:t>
            </w: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 of discontinued operations</w:t>
            </w:r>
          </w:p>
        </w:tc>
        <w:tc>
          <w:tcPr>
            <w:tcW w:w="22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426,959</w:t>
            </w:r>
          </w:p>
        </w:tc>
        <w:tc>
          <w:tcPr>
            <w:tcW w:w="0" w:type="dxa"/>
            <w:vAlign w:val="bottom"/>
          </w:tcPr>
          <w:p>
            <w:pPr>
              <w:spacing w:after="0"/>
              <w:rPr>
                <w:sz w:val="1"/>
                <w:szCs w:val="1"/>
                <w:color w:val="auto"/>
              </w:rPr>
            </w:pPr>
          </w:p>
        </w:tc>
      </w:tr>
      <w:tr>
        <w:trPr>
          <w:trHeight w:val="228"/>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6,820,217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7,194,917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trade</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36,884</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19,026</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338,544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403,810</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76,647</w:t>
            </w:r>
          </w:p>
        </w:tc>
        <w:tc>
          <w:tcPr>
            <w:tcW w:w="0" w:type="dxa"/>
            <w:vAlign w:val="bottom"/>
          </w:tcPr>
          <w:p>
            <w:pPr>
              <w:spacing w:after="0"/>
              <w:rPr>
                <w:sz w:val="1"/>
                <w:szCs w:val="1"/>
                <w:color w:val="auto"/>
              </w:rPr>
            </w:pPr>
          </w:p>
        </w:tc>
      </w:tr>
      <w:tr>
        <w:trPr>
          <w:trHeight w:val="189"/>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419,782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560,867</w:t>
            </w:r>
          </w:p>
        </w:tc>
        <w:tc>
          <w:tcPr>
            <w:tcW w:w="0" w:type="dxa"/>
            <w:vAlign w:val="bottom"/>
          </w:tcPr>
          <w:p>
            <w:pPr>
              <w:spacing w:after="0"/>
              <w:rPr>
                <w:sz w:val="1"/>
                <w:szCs w:val="1"/>
                <w:color w:val="auto"/>
              </w:rPr>
            </w:pPr>
          </w:p>
        </w:tc>
      </w:tr>
      <w:tr>
        <w:trPr>
          <w:trHeight w:val="169"/>
        </w:trPr>
        <w:tc>
          <w:tcPr>
            <w:tcW w:w="7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1,395,774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1,401,324</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208,624</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226,422</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 of discontinued operations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8,657</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25,264</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stock, $0.0001 par value; authorized 1,600,000 shares; 84,083 and 83,581 shares issued and 68,773 and 71,555 shares</w:t>
            </w:r>
          </w:p>
        </w:tc>
        <w:tc>
          <w:tcPr>
            <w:tcW w:w="22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March 31, 2026 and December 31, 2025, respectively</w:t>
            </w: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Class B common stock, $0.0001 par value; authorized 400,000 shares; 5,789 shares issued and outstanding at March 31, 2026 and</w:t>
            </w:r>
          </w:p>
        </w:tc>
        <w:tc>
          <w:tcPr>
            <w:tcW w:w="2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2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5,974,269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5,959,692</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(714,882)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(643,000)</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(11,842)</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15,310 shares and 12,026 shares at March 31, 2026 and December 31, 2025, respectively</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(695,890)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(571,032)</w:t>
            </w:r>
          </w:p>
        </w:tc>
        <w:tc>
          <w:tcPr>
            <w:tcW w:w="0" w:type="dxa"/>
            <w:vAlign w:val="bottom"/>
          </w:tcPr>
          <w:p>
            <w:pPr>
              <w:spacing w:after="0"/>
              <w:rPr>
                <w:sz w:val="1"/>
                <w:szCs w:val="1"/>
                <w:color w:val="auto"/>
              </w:rPr>
            </w:pPr>
          </w:p>
        </w:tc>
      </w:tr>
      <w:tr>
        <w:trPr>
          <w:trHeight w:val="189"/>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IAC shareholders' equity</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4,549,452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4,733,827</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29,932</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4,582,449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4,763,759</w:t>
            </w:r>
          </w:p>
        </w:tc>
        <w:tc>
          <w:tcPr>
            <w:tcW w:w="0" w:type="dxa"/>
            <w:vAlign w:val="bottom"/>
          </w:tcPr>
          <w:p>
            <w:pPr>
              <w:spacing w:after="0"/>
              <w:rPr>
                <w:sz w:val="1"/>
                <w:szCs w:val="1"/>
                <w:color w:val="auto"/>
              </w:rPr>
            </w:pPr>
          </w:p>
        </w:tc>
      </w:tr>
      <w:tr>
        <w:trPr>
          <w:trHeight w:val="22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6,820,217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7,194,917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The accompanying </w:t>
      </w:r>
      <w:r>
        <w:rPr>
          <w:rFonts w:ascii="Times New Roman" w:cs="Times New Roman" w:eastAsia="Times New Roman" w:hAnsi="Times New Roman"/>
          <w:sz w:val="16"/>
          <w:szCs w:val="16"/>
          <w:u w:val="single" w:color="auto"/>
          <w:color w:val="0000FF"/>
        </w:rPr>
        <w:t>Notes to Consolidated Financial Statements</w:t>
      </w:r>
      <w:r>
        <w:rPr>
          <w:rFonts w:ascii="Times New Roman" w:cs="Times New Roman" w:eastAsia="Times New Roman" w:hAnsi="Times New Roman"/>
          <w:sz w:val="16"/>
          <w:szCs w:val="16"/>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422,893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481,686</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 (exclusive of depreciation shown separately below)</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187,315</w:t>
            </w: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157,369</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43,477</w:t>
            </w: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35,742</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w:t>
            </w:r>
          </w:p>
        </w:tc>
      </w:tr>
      <w:tr>
        <w:trPr>
          <w:trHeight w:val="23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22,418</w:t>
            </w:r>
          </w:p>
        </w:tc>
      </w:tr>
      <w:tr>
        <w:trPr>
          <w:trHeight w:val="22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462,959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457,562</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24,124</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(28,314)</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(loss) on investment in MGM Resorts International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(324,265)</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(320,823)</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62,481</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(258,342)</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the sale of Care.com, net of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income taxes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43,774</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(214,568)</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IAC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(216,805)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information from continuing operations: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loss per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loss per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70"/>
        </w:trPr>
        <w:tc>
          <w:tcPr>
            <w:tcW w:w="8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information attributable to IAC common stock and Class B common stock shareholders: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loss per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loss per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70"/>
        </w:trPr>
        <w:tc>
          <w:tcPr>
            <w:tcW w:w="8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 by function: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(22,906)</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w:t>
            </w: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accompanying </w:t>
      </w:r>
      <w:r>
        <w:rPr>
          <w:rFonts w:ascii="Times New Roman" w:cs="Times New Roman" w:eastAsia="Times New Roman" w:hAnsi="Times New Roman"/>
          <w:sz w:val="18"/>
          <w:szCs w:val="18"/>
          <w:u w:val="single" w:color="auto"/>
          <w:color w:val="0000FF"/>
        </w:rPr>
        <w:t>Notes to Consolidated Financial Statements</w:t>
      </w:r>
      <w:r>
        <w:rPr>
          <w:rFonts w:ascii="Times New Roman" w:cs="Times New Roman" w:eastAsia="Times New Roman" w:hAnsi="Times New Roman"/>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(214,568)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r>
      <w:tr>
        <w:trPr>
          <w:trHeight w:val="229"/>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net unrealized gains (losses) on interest rate swaps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(loss) income, net of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net of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(213,354)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comprehensive income attributable to noncontrolling interests: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 attributable to noncontrolling interests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3"/>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IAC shareholders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(216,024)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accompanying </w:t>
      </w:r>
      <w:r>
        <w:rPr>
          <w:rFonts w:ascii="Times New Roman" w:cs="Times New Roman" w:eastAsia="Times New Roman" w:hAnsi="Times New Roman"/>
          <w:sz w:val="18"/>
          <w:szCs w:val="18"/>
          <w:u w:val="single" w:color="auto"/>
          <w:color w:val="0000FF"/>
        </w:rPr>
        <w:t>Notes to Consolidated Financial Statements</w:t>
      </w:r>
      <w:r>
        <w:rPr>
          <w:rFonts w:ascii="Times New Roman" w:cs="Times New Roman" w:eastAsia="Times New Roman" w:hAnsi="Times New Roman"/>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IAC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 OF SHAREHOLDERS' EQUITY</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Class B common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4"/>
            <w:vMerge w:val="restart"/>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4"/>
            <w:vMerge w:val="restart"/>
          </w:tcPr>
          <w:p>
            <w:pPr>
              <w:jc w:val="center"/>
              <w:ind w:right="4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stock,</w:t>
            </w: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right w:val="single" w:sz="8" w:color="auto"/>
            </w:tcBorders>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760" w:type="dxa"/>
            <w:vAlign w:val="bottom"/>
            <w:gridSpan w:val="2"/>
            <w:vMerge w:val="restart"/>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2"/>
            <w:vMerge w:val="restart"/>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restart"/>
          </w:tcPr>
          <w:p>
            <w:pPr>
              <w:jc w:val="center"/>
              <w:ind w:right="60"/>
              <w:spacing w:after="0" w:line="108" w:lineRule="exact"/>
              <w:rPr>
                <w:sz w:val="20"/>
                <w:szCs w:val="20"/>
                <w:color w:val="auto"/>
              </w:rPr>
            </w:pPr>
            <w:r>
              <w:rPr>
                <w:rFonts w:ascii="Times New Roman" w:cs="Times New Roman" w:eastAsia="Times New Roman" w:hAnsi="Times New Roman"/>
                <w:sz w:val="11"/>
                <w:szCs w:val="11"/>
                <w:b w:val="1"/>
                <w:bCs w:val="1"/>
                <w:color w:val="auto"/>
                <w:w w:val="95"/>
              </w:rPr>
              <w:t>Total IAC</w:t>
            </w: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restart"/>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w w:val="98"/>
              </w:rPr>
              <w:t>$0.0001 par value</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4"/>
            <w:vMerge w:val="restart"/>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8"/>
              </w:rPr>
              <w:t>$0.0001 par value</w:t>
            </w:r>
          </w:p>
        </w:tc>
        <w:tc>
          <w:tcPr>
            <w:tcW w:w="80" w:type="dxa"/>
            <w:vAlign w:val="bottom"/>
            <w:vMerge w:val="restart"/>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620" w:type="dxa"/>
            <w:vAlign w:val="bottom"/>
          </w:tcPr>
          <w:p>
            <w:pPr>
              <w:spacing w:after="0"/>
              <w:rPr>
                <w:sz w:val="7"/>
                <w:szCs w:val="7"/>
                <w:color w:val="auto"/>
              </w:rPr>
            </w:pPr>
          </w:p>
        </w:tc>
        <w:tc>
          <w:tcPr>
            <w:tcW w:w="860" w:type="dxa"/>
            <w:vAlign w:val="bottom"/>
            <w:tcBorders>
              <w:right w:val="single" w:sz="8" w:color="auto"/>
            </w:tcBorders>
            <w:gridSpan w:val="3"/>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6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72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40" w:type="dxa"/>
            <w:vAlign w:val="bottom"/>
            <w:gridSpan w:val="3"/>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20" w:type="dxa"/>
            <w:vAlign w:val="bottom"/>
            <w:gridSpan w:val="2"/>
          </w:tcPr>
          <w:p>
            <w:pPr>
              <w:ind w:left="120"/>
              <w:spacing w:after="0" w:line="88"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76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840" w:type="dxa"/>
            <w:vAlign w:val="bottom"/>
            <w:gridSpan w:val="3"/>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68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4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25,264</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83,581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$ 5,959,692</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(643,000)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(11,842)</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(571,032)</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$ 4,733,827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29,932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$ 4,763,759</w:t>
            </w:r>
          </w:p>
        </w:tc>
        <w:tc>
          <w:tcPr>
            <w:tcW w:w="0" w:type="dxa"/>
            <w:vAlign w:val="bottom"/>
          </w:tcPr>
          <w:p>
            <w:pPr>
              <w:spacing w:after="0"/>
              <w:rPr>
                <w:sz w:val="1"/>
                <w:szCs w:val="1"/>
                <w:color w:val="auto"/>
              </w:rPr>
            </w:pPr>
          </w:p>
        </w:tc>
      </w:tr>
      <w:tr>
        <w:trPr>
          <w:trHeight w:val="195"/>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earnings (loss)</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(70,735)</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 net of income taxes</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(2,212)</w:t>
            </w:r>
          </w:p>
        </w:tc>
        <w:tc>
          <w:tcPr>
            <w:tcW w:w="0" w:type="dxa"/>
            <w:vAlign w:val="bottom"/>
          </w:tcPr>
          <w:p>
            <w:pPr>
              <w:spacing w:after="0"/>
              <w:rPr>
                <w:sz w:val="1"/>
                <w:szCs w:val="1"/>
                <w:color w:val="auto"/>
              </w:rPr>
            </w:pPr>
          </w:p>
        </w:tc>
      </w:tr>
      <w:tr>
        <w:trPr>
          <w:trHeight w:val="195"/>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16,996</w:t>
            </w:r>
          </w:p>
        </w:tc>
        <w:tc>
          <w:tcPr>
            <w:tcW w:w="80" w:type="dxa"/>
            <w:vAlign w:val="bottom"/>
          </w:tcPr>
          <w:p>
            <w:pPr>
              <w:spacing w:after="0"/>
              <w:rPr>
                <w:sz w:val="16"/>
                <w:szCs w:val="16"/>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17,349</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common stock pursuant to stock-</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based awards, net of withholding taxes</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(18,041)</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(18,041)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(18,041)</w:t>
            </w:r>
          </w:p>
        </w:tc>
        <w:tc>
          <w:tcPr>
            <w:tcW w:w="0" w:type="dxa"/>
            <w:vAlign w:val="bottom"/>
          </w:tcPr>
          <w:p>
            <w:pPr>
              <w:spacing w:after="0"/>
              <w:rPr>
                <w:sz w:val="1"/>
                <w:szCs w:val="1"/>
                <w:color w:val="auto"/>
              </w:rPr>
            </w:pPr>
          </w:p>
        </w:tc>
      </w:tr>
      <w:tr>
        <w:trPr>
          <w:trHeight w:val="194"/>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IAC treasury stock</w:t>
            </w:r>
          </w:p>
        </w:tc>
        <w:tc>
          <w:tcPr>
            <w:tcW w:w="10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(124,858)</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(124,858)</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received pursuant to the tax sharing</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agreement with Angi Inc.</w:t>
            </w:r>
          </w:p>
        </w:tc>
        <w:tc>
          <w:tcPr>
            <w:tcW w:w="10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6,542</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6,542</w:t>
            </w:r>
          </w:p>
        </w:tc>
        <w:tc>
          <w:tcPr>
            <w:tcW w:w="0" w:type="dxa"/>
            <w:vAlign w:val="bottom"/>
          </w:tcPr>
          <w:p>
            <w:pPr>
              <w:spacing w:after="0"/>
              <w:rPr>
                <w:sz w:val="1"/>
                <w:szCs w:val="1"/>
                <w:color w:val="auto"/>
              </w:rPr>
            </w:pPr>
          </w:p>
        </w:tc>
      </w:tr>
      <w:tr>
        <w:trPr>
          <w:trHeight w:val="68"/>
        </w:trPr>
        <w:tc>
          <w:tcPr>
            <w:tcW w:w="2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tcBorders>
              <w:right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gridSpan w:val="2"/>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0" w:type="dxa"/>
            <w:vAlign w:val="bottom"/>
            <w:gridSpan w:val="2"/>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720" w:type="dxa"/>
            <w:vAlign w:val="bottom"/>
            <w:gridSpan w:val="2"/>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7"/>
              </w:rPr>
              <w:t>Allocation of certain tax attributes in connection</w:t>
            </w:r>
          </w:p>
        </w:tc>
        <w:tc>
          <w:tcPr>
            <w:tcW w:w="100" w:type="dxa"/>
            <w:vAlign w:val="bottom"/>
          </w:tcPr>
          <w:p>
            <w:pPr>
              <w:spacing w:after="0"/>
              <w:rPr>
                <w:sz w:val="13"/>
                <w:szCs w:val="13"/>
                <w:color w:val="auto"/>
              </w:rPr>
            </w:pPr>
          </w:p>
        </w:tc>
        <w:tc>
          <w:tcPr>
            <w:tcW w:w="76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with the Angi Inc. Distribution</w:t>
            </w:r>
          </w:p>
        </w:tc>
        <w:tc>
          <w:tcPr>
            <w:tcW w:w="100" w:type="dxa"/>
            <w:vAlign w:val="bottom"/>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80" w:type="dxa"/>
            <w:vAlign w:val="bottom"/>
          </w:tcPr>
          <w:p>
            <w:pPr>
              <w:spacing w:after="0"/>
              <w:rPr>
                <w:sz w:val="10"/>
                <w:szCs w:val="10"/>
                <w:color w:val="auto"/>
              </w:rPr>
            </w:pPr>
          </w:p>
        </w:tc>
        <w:tc>
          <w:tcPr>
            <w:tcW w:w="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0" w:type="dxa"/>
            <w:vAlign w:val="bottom"/>
          </w:tcPr>
          <w:p>
            <w:pPr>
              <w:spacing w:after="0"/>
              <w:rPr>
                <w:sz w:val="1"/>
                <w:szCs w:val="1"/>
                <w:color w:val="auto"/>
              </w:rPr>
            </w:pPr>
          </w:p>
        </w:tc>
      </w:tr>
      <w:tr>
        <w:trPr>
          <w:trHeight w:val="59"/>
        </w:trPr>
        <w:tc>
          <w:tcPr>
            <w:tcW w:w="2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the Angi Inc. Distribution</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following the repeal of Canada's digital service</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 of noncontrolling interests to</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redemption amount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13,091</w:t>
            </w:r>
          </w:p>
        </w:tc>
        <w:tc>
          <w:tcPr>
            <w:tcW w:w="80" w:type="dxa"/>
            <w:vAlign w:val="bottom"/>
          </w:tcPr>
          <w:p>
            <w:pPr>
              <w:spacing w:after="0"/>
              <w:rPr>
                <w:sz w:val="16"/>
                <w:szCs w:val="16"/>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13,091</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the liquidation value of Vivian</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Health preferred shares</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7"/>
                <w:szCs w:val="17"/>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0" w:type="dxa"/>
            <w:vAlign w:val="bottom"/>
          </w:tcPr>
          <w:p>
            <w:pPr>
              <w:spacing w:after="0"/>
              <w:rPr>
                <w:sz w:val="1"/>
                <w:szCs w:val="1"/>
                <w:color w:val="auto"/>
              </w:rPr>
            </w:pPr>
          </w:p>
        </w:tc>
      </w:tr>
      <w:tr>
        <w:trPr>
          <w:trHeight w:val="201"/>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12,236</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$ 5,974,269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(714,882)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(695,890)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$ 4,549,452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$ 4,582,449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The accompanying </w:t>
      </w:r>
      <w:r>
        <w:rPr>
          <w:rFonts w:ascii="Times New Roman" w:cs="Times New Roman" w:eastAsia="Times New Roman" w:hAnsi="Times New Roman"/>
          <w:sz w:val="16"/>
          <w:szCs w:val="16"/>
          <w:u w:val="single" w:color="auto"/>
          <w:color w:val="0000FF"/>
        </w:rPr>
        <w:t>Notes to Consolidated Financial Statements</w:t>
      </w:r>
      <w:r>
        <w:rPr>
          <w:rFonts w:ascii="Times New Roman" w:cs="Times New Roman" w:eastAsia="Times New Roman" w:hAnsi="Times New Roman"/>
          <w:sz w:val="16"/>
          <w:szCs w:val="16"/>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IAC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 OF SHAREHOLDERS' EQUITY</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Class B common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4"/>
            <w:vMerge w:val="restart"/>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4"/>
            <w:vMerge w:val="restart"/>
          </w:tcPr>
          <w:p>
            <w:pPr>
              <w:jc w:val="center"/>
              <w:ind w:right="4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stock,</w:t>
            </w: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right w:val="single" w:sz="8" w:color="auto"/>
            </w:tcBorders>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760" w:type="dxa"/>
            <w:vAlign w:val="bottom"/>
            <w:gridSpan w:val="2"/>
            <w:vMerge w:val="restart"/>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2"/>
            <w:vMerge w:val="restart"/>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restart"/>
          </w:tcPr>
          <w:p>
            <w:pPr>
              <w:jc w:val="center"/>
              <w:ind w:right="60"/>
              <w:spacing w:after="0" w:line="108" w:lineRule="exact"/>
              <w:rPr>
                <w:sz w:val="20"/>
                <w:szCs w:val="20"/>
                <w:color w:val="auto"/>
              </w:rPr>
            </w:pPr>
            <w:r>
              <w:rPr>
                <w:rFonts w:ascii="Times New Roman" w:cs="Times New Roman" w:eastAsia="Times New Roman" w:hAnsi="Times New Roman"/>
                <w:sz w:val="11"/>
                <w:szCs w:val="11"/>
                <w:b w:val="1"/>
                <w:bCs w:val="1"/>
                <w:color w:val="auto"/>
                <w:w w:val="95"/>
              </w:rPr>
              <w:t>Total IAC</w:t>
            </w: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restart"/>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w w:val="98"/>
              </w:rPr>
              <w:t>$0.0001 par value</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4"/>
            <w:vMerge w:val="restart"/>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8"/>
              </w:rPr>
              <w:t>$0.0001 par value</w:t>
            </w:r>
          </w:p>
        </w:tc>
        <w:tc>
          <w:tcPr>
            <w:tcW w:w="80" w:type="dxa"/>
            <w:vAlign w:val="bottom"/>
            <w:vMerge w:val="restart"/>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620" w:type="dxa"/>
            <w:vAlign w:val="bottom"/>
          </w:tcPr>
          <w:p>
            <w:pPr>
              <w:spacing w:after="0"/>
              <w:rPr>
                <w:sz w:val="7"/>
                <w:szCs w:val="7"/>
                <w:color w:val="auto"/>
              </w:rPr>
            </w:pPr>
          </w:p>
        </w:tc>
        <w:tc>
          <w:tcPr>
            <w:tcW w:w="860" w:type="dxa"/>
            <w:vAlign w:val="bottom"/>
            <w:tcBorders>
              <w:right w:val="single" w:sz="8" w:color="auto"/>
            </w:tcBorders>
            <w:gridSpan w:val="3"/>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6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72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40" w:type="dxa"/>
            <w:vAlign w:val="bottom"/>
            <w:gridSpan w:val="3"/>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20" w:type="dxa"/>
            <w:vAlign w:val="bottom"/>
            <w:gridSpan w:val="2"/>
          </w:tcPr>
          <w:p>
            <w:pPr>
              <w:ind w:left="120"/>
              <w:spacing w:after="0" w:line="88"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76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840" w:type="dxa"/>
            <w:vAlign w:val="bottom"/>
            <w:gridSpan w:val="3"/>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68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4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25,415</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84,831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$ 6,380,700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(538,974)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(11,396)</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(252,441)</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$ 5,577,898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701,075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$ 6,278,973</w:t>
            </w:r>
          </w:p>
        </w:tc>
        <w:tc>
          <w:tcPr>
            <w:tcW w:w="0" w:type="dxa"/>
            <w:vAlign w:val="bottom"/>
          </w:tcPr>
          <w:p>
            <w:pPr>
              <w:spacing w:after="0"/>
              <w:rPr>
                <w:sz w:val="1"/>
                <w:szCs w:val="1"/>
                <w:color w:val="auto"/>
              </w:rPr>
            </w:pPr>
          </w:p>
        </w:tc>
      </w:tr>
      <w:tr>
        <w:trPr>
          <w:trHeight w:val="170"/>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 earnings</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(216,805)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(216,805)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2,245</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(214,560)</w:t>
            </w: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Other comprehensive income, net of income</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0" w:type="dxa"/>
            <w:vAlign w:val="bottom"/>
          </w:tcPr>
          <w:p>
            <w:pPr>
              <w:spacing w:after="0"/>
              <w:rPr>
                <w:sz w:val="1"/>
                <w:szCs w:val="1"/>
                <w:color w:val="auto"/>
              </w:rPr>
            </w:pPr>
          </w:p>
        </w:tc>
      </w:tr>
      <w:tr>
        <w:trPr>
          <w:trHeight w:val="170"/>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(20,400)</w:t>
            </w:r>
          </w:p>
        </w:tc>
        <w:tc>
          <w:tcPr>
            <w:tcW w:w="8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(21,052)</w:t>
            </w: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Issuance of common stock pursuant to stock-</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based awards, net of withholding taxes</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(35,859)</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(35,859)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(35,859)</w:t>
            </w:r>
          </w:p>
        </w:tc>
        <w:tc>
          <w:tcPr>
            <w:tcW w:w="0" w:type="dxa"/>
            <w:vAlign w:val="bottom"/>
          </w:tcPr>
          <w:p>
            <w:pPr>
              <w:spacing w:after="0"/>
              <w:rPr>
                <w:sz w:val="1"/>
                <w:szCs w:val="1"/>
                <w:color w:val="auto"/>
              </w:rPr>
            </w:pPr>
          </w:p>
        </w:tc>
      </w:tr>
      <w:tr>
        <w:trPr>
          <w:trHeight w:val="122"/>
        </w:trPr>
        <w:tc>
          <w:tcPr>
            <w:tcW w:w="2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Forfeiture of IAC's former CEO's restricted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 award</w:t>
            </w:r>
          </w:p>
        </w:tc>
        <w:tc>
          <w:tcPr>
            <w:tcW w:w="10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6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Withholding taxes paid on IAC's transfer of</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Angi Inc. Class B shares to its former CEO</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(9,347)</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(9,347)</w:t>
            </w:r>
          </w:p>
        </w:tc>
        <w:tc>
          <w:tcPr>
            <w:tcW w:w="0" w:type="dxa"/>
            <w:vAlign w:val="bottom"/>
          </w:tcPr>
          <w:p>
            <w:pPr>
              <w:spacing w:after="0"/>
              <w:rPr>
                <w:sz w:val="1"/>
                <w:szCs w:val="1"/>
                <w:color w:val="auto"/>
              </w:rPr>
            </w:pPr>
          </w:p>
        </w:tc>
      </w:tr>
      <w:tr>
        <w:trPr>
          <w:trHeight w:val="122"/>
        </w:trPr>
        <w:tc>
          <w:tcPr>
            <w:tcW w:w="2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7"/>
              </w:rPr>
              <w:t>Issuance of Angi Inc. common stock pursuant to</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stock-based awards, net of withholding taxes,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prior to the Distribution</w:t>
            </w:r>
          </w:p>
        </w:tc>
        <w:tc>
          <w:tcPr>
            <w:tcW w:w="10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(8,264)</w:t>
            </w:r>
          </w:p>
        </w:tc>
        <w:tc>
          <w:tcPr>
            <w:tcW w:w="8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(4,572)</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IAC treasury stock</w:t>
            </w:r>
          </w:p>
        </w:tc>
        <w:tc>
          <w:tcPr>
            <w:tcW w:w="10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(180,827)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(180,827)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(180,827)</w:t>
            </w:r>
          </w:p>
        </w:tc>
        <w:tc>
          <w:tcPr>
            <w:tcW w:w="0" w:type="dxa"/>
            <w:vAlign w:val="bottom"/>
          </w:tcPr>
          <w:p>
            <w:pPr>
              <w:spacing w:after="0"/>
              <w:rPr>
                <w:sz w:val="1"/>
                <w:szCs w:val="1"/>
                <w:color w:val="auto"/>
              </w:rPr>
            </w:pPr>
          </w:p>
        </w:tc>
      </w:tr>
      <w:tr>
        <w:trPr>
          <w:trHeight w:val="122"/>
        </w:trPr>
        <w:tc>
          <w:tcPr>
            <w:tcW w:w="2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8"/>
              </w:rPr>
              <w:t>Purchase of Angi Inc. treasury stock prior to the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w:t>
            </w:r>
          </w:p>
        </w:tc>
        <w:tc>
          <w:tcPr>
            <w:tcW w:w="10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(10,688)</w:t>
            </w:r>
          </w:p>
        </w:tc>
        <w:tc>
          <w:tcPr>
            <w:tcW w:w="8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(10,688)</w:t>
            </w:r>
          </w:p>
        </w:tc>
        <w:tc>
          <w:tcPr>
            <w:tcW w:w="0" w:type="dxa"/>
            <w:vAlign w:val="bottom"/>
          </w:tcPr>
          <w:p>
            <w:pPr>
              <w:spacing w:after="0"/>
              <w:rPr>
                <w:sz w:val="1"/>
                <w:szCs w:val="1"/>
                <w:color w:val="auto"/>
              </w:rPr>
            </w:pPr>
          </w:p>
        </w:tc>
      </w:tr>
      <w:tr>
        <w:trPr>
          <w:trHeight w:val="129"/>
        </w:trPr>
        <w:tc>
          <w:tcPr>
            <w:tcW w:w="26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Adjustment of noncontrolling interests to</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redemption amount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22"/>
        </w:trPr>
        <w:tc>
          <w:tcPr>
            <w:tcW w:w="2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Adjustment to the liquidation value of Vivian</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Health preferred shares</w:t>
            </w:r>
          </w:p>
        </w:tc>
        <w:tc>
          <w:tcPr>
            <w:tcW w:w="10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 of IAC's investment in Angi Inc.</w:t>
            </w:r>
          </w:p>
        </w:tc>
        <w:tc>
          <w:tcPr>
            <w:tcW w:w="10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(1,065,612)</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(1,065,994)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(1,065,994)</w:t>
            </w:r>
          </w:p>
        </w:tc>
        <w:tc>
          <w:tcPr>
            <w:tcW w:w="0" w:type="dxa"/>
            <w:vAlign w:val="bottom"/>
          </w:tcPr>
          <w:p>
            <w:pPr>
              <w:spacing w:after="0"/>
              <w:rPr>
                <w:sz w:val="1"/>
                <w:szCs w:val="1"/>
                <w:color w:val="auto"/>
              </w:rPr>
            </w:pPr>
          </w:p>
        </w:tc>
      </w:tr>
      <w:tr>
        <w:trPr>
          <w:trHeight w:val="170"/>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8"/>
              </w:rPr>
              <w:t>Elimination of Angi Inc. noncontrolling interest</w:t>
            </w:r>
          </w:p>
        </w:tc>
        <w:tc>
          <w:tcPr>
            <w:tcW w:w="10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682,927</w:t>
            </w:r>
          </w:p>
        </w:tc>
        <w:tc>
          <w:tcPr>
            <w:tcW w:w="8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682,927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(682,927)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209"/>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25,294</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82,622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$ 5,913,590</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 (755,779)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(10,993)</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 (433,268)</w:t>
            </w: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$ 4,713,559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23,879</w:t>
            </w: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$ 4,737,438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The accompanying </w:t>
      </w:r>
      <w:r>
        <w:rPr>
          <w:rFonts w:ascii="Times New Roman" w:cs="Times New Roman" w:eastAsia="Times New Roman" w:hAnsi="Times New Roman"/>
          <w:sz w:val="16"/>
          <w:szCs w:val="16"/>
          <w:u w:val="single" w:color="auto"/>
          <w:color w:val="0000FF"/>
        </w:rPr>
        <w:t>Notes to Consolidated Financial Statements</w:t>
      </w:r>
      <w:r>
        <w:rPr>
          <w:rFonts w:ascii="Times New Roman" w:cs="Times New Roman" w:eastAsia="Times New Roman" w:hAnsi="Times New Roman"/>
          <w:sz w:val="16"/>
          <w:szCs w:val="16"/>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IAC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8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 attributable to continuing operations: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(70,670)</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(214,568)</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Loss on the sale of Care.com, net of income taxes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Earnings from discontinued operations, net of income taxes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43,774</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continuing operations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(258,342)</w:t>
            </w:r>
          </w:p>
        </w:tc>
        <w:tc>
          <w:tcPr>
            <w:tcW w:w="0" w:type="dxa"/>
            <w:vAlign w:val="bottom"/>
          </w:tcPr>
          <w:p>
            <w:pPr>
              <w:spacing w:after="0"/>
              <w:rPr>
                <w:sz w:val="1"/>
                <w:szCs w:val="1"/>
                <w:color w:val="auto"/>
              </w:rPr>
            </w:pPr>
          </w:p>
        </w:tc>
      </w:tr>
      <w:tr>
        <w:trPr>
          <w:trHeight w:val="162"/>
        </w:trPr>
        <w:tc>
          <w:tcPr>
            <w:tcW w:w="80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Adjustments to reconcile net loss attributable to continuing operations to net cash provided by (used in) operating activities</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attributable to continuing operations: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22,418</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(21,390)</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lease expense (including right-of-use asset impairments)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8,724</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11,241</w:t>
            </w:r>
          </w:p>
        </w:tc>
        <w:tc>
          <w:tcPr>
            <w:tcW w:w="0" w:type="dxa"/>
            <w:vAlign w:val="bottom"/>
          </w:tcPr>
          <w:p>
            <w:pPr>
              <w:spacing w:after="0"/>
              <w:rPr>
                <w:sz w:val="1"/>
                <w:szCs w:val="1"/>
                <w:color w:val="auto"/>
              </w:rPr>
            </w:pPr>
          </w:p>
        </w:tc>
      </w:tr>
      <w:tr>
        <w:trPr>
          <w:trHeight w:val="165"/>
        </w:trPr>
        <w:tc>
          <w:tcPr>
            <w:tcW w:w="808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Net downward adjustments to the carrying value of equity securities without readily determinable fair values and net</w:t>
            </w:r>
          </w:p>
        </w:tc>
        <w:tc>
          <w:tcPr>
            <w:tcW w:w="3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7,538</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gains on sales of investments and businesses</w:t>
            </w:r>
          </w:p>
        </w:tc>
        <w:tc>
          <w:tcPr>
            <w:tcW w:w="3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(gain) loss on investment in MGM Resorts International</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324,265</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(63,833)</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sale of an unutilized domain name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gains on amendments and early terminations of lease agreements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(36,038)</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adjustments,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assets and liabilities, net of effects of dispositions: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86,268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76,641</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(32,650)</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(33,950)</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(35,588)</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 and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0" w:type="dxa"/>
            <w:vAlign w:val="bottom"/>
          </w:tcPr>
          <w:p>
            <w:pPr>
              <w:spacing w:after="0"/>
              <w:rPr>
                <w:sz w:val="1"/>
                <w:szCs w:val="1"/>
                <w:color w:val="auto"/>
              </w:rPr>
            </w:pPr>
          </w:p>
        </w:tc>
      </w:tr>
      <w:tr>
        <w:trPr>
          <w:trHeight w:val="207"/>
        </w:trPr>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 attributable to continuing operations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(27,311)</w:t>
            </w:r>
          </w:p>
        </w:tc>
        <w:tc>
          <w:tcPr>
            <w:tcW w:w="0" w:type="dxa"/>
            <w:vAlign w:val="bottom"/>
          </w:tcPr>
          <w:p>
            <w:pPr>
              <w:spacing w:after="0"/>
              <w:rPr>
                <w:sz w:val="1"/>
                <w:szCs w:val="1"/>
                <w:color w:val="auto"/>
              </w:rPr>
            </w:pPr>
          </w:p>
        </w:tc>
      </w:tr>
      <w:tr>
        <w:trPr>
          <w:trHeight w:val="19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 attributable to continuing operations: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proceeds from the sale of Care.com</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MGM Resorts International common shares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Allocation of Angi Inc.'s cash in the Distribution</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(386,563)</w:t>
            </w:r>
          </w:p>
        </w:tc>
        <w:tc>
          <w:tcPr>
            <w:tcW w:w="0" w:type="dxa"/>
            <w:vAlign w:val="bottom"/>
          </w:tcPr>
          <w:p>
            <w:pPr>
              <w:spacing w:after="0"/>
              <w:rPr>
                <w:sz w:val="1"/>
                <w:szCs w:val="1"/>
                <w:color w:val="auto"/>
              </w:rPr>
            </w:pPr>
          </w:p>
        </w:tc>
      </w:tr>
      <w:tr>
        <w:trPr>
          <w:trHeight w:val="213"/>
        </w:trPr>
        <w:tc>
          <w:tcPr>
            <w:tcW w:w="8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the sale of an unutilized domain name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proceeds from the sales of investments and businesses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10,096</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the sale of a portion of the retirement investment fund</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07"/>
        </w:trPr>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 attributable to continuing operations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260,644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(375,221)</w:t>
            </w:r>
          </w:p>
        </w:tc>
        <w:tc>
          <w:tcPr>
            <w:tcW w:w="0" w:type="dxa"/>
            <w:vAlign w:val="bottom"/>
          </w:tcPr>
          <w:p>
            <w:pPr>
              <w:spacing w:after="0"/>
              <w:rPr>
                <w:sz w:val="1"/>
                <w:szCs w:val="1"/>
                <w:color w:val="auto"/>
              </w:rPr>
            </w:pPr>
          </w:p>
        </w:tc>
      </w:tr>
      <w:tr>
        <w:trPr>
          <w:trHeight w:val="19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 attributable to continuing operations: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Principal payments on the Term Loans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Withholding taxes paid on behalf of employees on net settled stock-based awards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(45,183)</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(123,574)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(179,394)</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 from Angi Inc. pursuant to the tax sharing agreement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 attributable to continuing operations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(141,152)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(233,982)</w:t>
            </w:r>
          </w:p>
        </w:tc>
        <w:tc>
          <w:tcPr>
            <w:tcW w:w="0" w:type="dxa"/>
            <w:vAlign w:val="bottom"/>
          </w:tcPr>
          <w:p>
            <w:pPr>
              <w:spacing w:after="0"/>
              <w:rPr>
                <w:sz w:val="1"/>
                <w:szCs w:val="1"/>
                <w:color w:val="auto"/>
              </w:rPr>
            </w:pPr>
          </w:p>
        </w:tc>
      </w:tr>
      <w:tr>
        <w:trPr>
          <w:trHeight w:val="207"/>
        </w:trPr>
        <w:tc>
          <w:tcPr>
            <w:tcW w:w="8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cash provided by (used in) continuing operations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129,456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(636,514)</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cash provided by operating activities attributable to discontinued operations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24,617</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 attributable to discontinued operations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(13,019)</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 attributable to discontinued operations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(14,362)</w:t>
            </w:r>
          </w:p>
        </w:tc>
        <w:tc>
          <w:tcPr>
            <w:tcW w:w="0" w:type="dxa"/>
            <w:vAlign w:val="bottom"/>
          </w:tcPr>
          <w:p>
            <w:pPr>
              <w:spacing w:after="0"/>
              <w:rPr>
                <w:sz w:val="1"/>
                <w:szCs w:val="1"/>
                <w:color w:val="auto"/>
              </w:rPr>
            </w:pPr>
          </w:p>
        </w:tc>
      </w:tr>
      <w:tr>
        <w:trPr>
          <w:trHeight w:val="207"/>
        </w:trPr>
        <w:tc>
          <w:tcPr>
            <w:tcW w:w="8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cash provided by (used in) discontinued operations</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5,364</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07"/>
        </w:trPr>
        <w:tc>
          <w:tcPr>
            <w:tcW w:w="8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 and restricted cash</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133,409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(638,916)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986,831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1,807,255</w:t>
            </w:r>
          </w:p>
        </w:tc>
        <w:tc>
          <w:tcPr>
            <w:tcW w:w="0" w:type="dxa"/>
            <w:vAlign w:val="bottom"/>
          </w:tcPr>
          <w:p>
            <w:pPr>
              <w:spacing w:after="0"/>
              <w:rPr>
                <w:sz w:val="1"/>
                <w:szCs w:val="1"/>
                <w:color w:val="auto"/>
              </w:rPr>
            </w:pPr>
          </w:p>
        </w:tc>
      </w:tr>
      <w:tr>
        <w:trPr>
          <w:trHeight w:val="212"/>
        </w:trPr>
        <w:tc>
          <w:tcPr>
            <w:tcW w:w="8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at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1,120,240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1,168,339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The accompanying </w:t>
      </w:r>
      <w:r>
        <w:rPr>
          <w:rFonts w:ascii="Times New Roman" w:cs="Times New Roman" w:eastAsia="Times New Roman" w:hAnsi="Times New Roman"/>
          <w:sz w:val="16"/>
          <w:szCs w:val="16"/>
          <w:u w:val="single" w:color="auto"/>
          <w:color w:val="0000FF"/>
        </w:rPr>
        <w:t>Notes to Consolidated Financial Statements</w:t>
      </w:r>
      <w:r>
        <w:rPr>
          <w:rFonts w:ascii="Times New Roman" w:cs="Times New Roman" w:eastAsia="Times New Roman" w:hAnsi="Times New Roman"/>
          <w:sz w:val="16"/>
          <w:szCs w:val="16"/>
          <w:color w:val="auto"/>
        </w:rPr>
        <w:t xml:space="preserve"> are an integral part of these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1—THE COMPANY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IAC today primarily comprises leading publisher People Inc. and its strategic equity positions in MGM Resorts International (“MGM”) and Turo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(“Turo”).</w:t>
      </w:r>
    </w:p>
    <w:p>
      <w:pPr>
        <w:spacing w:after="0" w:line="207"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As used herein, “IAC,” the “Company,” “we,” “our,” “us” and other similar terms refer to IAC Inc. and its subsidiaries (unless the context requires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IAC Corporate Restructuring</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April 28, 2026, IAC announced it is changing its name to “People Incorporated” as it continues to sharpen its focus on its People Inc. business and its investment in MGM.</w:t>
      </w:r>
    </w:p>
    <w:p>
      <w:pPr>
        <w:spacing w:after="0" w:line="16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Ahead of its name change to “People Incorporated,” which is expected to occur in or before August 2026, the Company has initiated a plan to consolidate its corporate functions with those of People Inc. through a reduction in workforce, technology integrations and other cost-saving measures over the coming quarters (the “Plan”). The Plan is expected to be completed by the first quarter of 2027.</w:t>
      </w:r>
    </w:p>
    <w:p>
      <w:pPr>
        <w:spacing w:after="0" w:line="17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expects to incur approximately $14.0 million in severance and related expenses, of which $10.3 million was accrued at March 31, 2026 and is included in “General and administrative expense” in the statement of operations, $48.0 million in stock-based compensation expense and</w:t>
      </w:r>
    </w:p>
    <w:p>
      <w:pPr>
        <w:ind w:right="40"/>
        <w:spacing w:after="0" w:line="252" w:lineRule="auto"/>
        <w:rPr>
          <w:sz w:val="20"/>
          <w:szCs w:val="20"/>
          <w:color w:val="auto"/>
        </w:rPr>
      </w:pPr>
      <w:r>
        <w:rPr>
          <w:rFonts w:ascii="Times New Roman" w:cs="Times New Roman" w:eastAsia="Times New Roman" w:hAnsi="Times New Roman"/>
          <w:sz w:val="18"/>
          <w:szCs w:val="18"/>
          <w:color w:val="auto"/>
        </w:rPr>
        <w:t>$0.5 million to $1.0 million in other costs related to the Plan. The aforementioned stock-based compensation expense includes approximately $16.0 million of expense that accelerates based on the original terms of employee award agreements and $32.0 million of expense associated with awards that were modified to vest in connection with the Plan. The total costs expected to be incurred in connection with the Plan are approximately $63.0 million. The estimates of the charges and expenditures that the Company expects to incur in connection with the Plan, and the timing thereof, are subject to a number of assumptions and actual amounts may differ materially from these estimates. In addition, the Company may incur other charges or cash expenditures not currently contemplated due to unanticipated events that may occur in connection with the implementation of the Plan.</w:t>
      </w:r>
    </w:p>
    <w:p>
      <w:pPr>
        <w:spacing w:after="0" w:line="190"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As the Company moves away from its holding company structure and in connection with the Plan, Christopher Halpin will cease to serve as Executive Vice President, Chief Operating Officer and Chief Financial Officer of the Company, and Kendall Handler will cease to serve as Executive Vice President and Chief Legal Officer of the Company, in each case, effective on the filing of the Company’s Form 10-Q for the quarter ending June 30, 2026 or such earlier date on which the executive’s employment with the Company is terminated for any other reason (the “Separation Effective Date”). The Company expects that, upon the Separation Effective Date, Neil Vogel, who currently serves as Chief Executive Officer of People, will become Chief Executive Officer of the Company, and Tim Quinn, who currently serves as the Chief Financial Officer of People, will become Chief Financial Officer of the Company. Mr. Halpin and Ms. Handler have each entered into employment transition agreements with the Company, each dated April 27, 2026, pursuant to which each executive will continue to serve in their respective positions through the Separation Effective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Sale of Care.com</w:t>
      </w:r>
    </w:p>
    <w:p>
      <w:pPr>
        <w:spacing w:after="0" w:line="22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On March 16, 2026, IAC completed the sale of its wholly-owned subsidiary, Care.com, for net proceeds of $295.7 million. As a result of the transaction, the consolidated operations of Care.com are presented as discontinued operations within IAC’s consolidated financial statements for all periods prior to March 16, 2026.</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Angi Inc. Distribution</w:t>
      </w:r>
    </w:p>
    <w:p>
      <w:pPr>
        <w:spacing w:after="0" w:line="216" w:lineRule="exact"/>
        <w:rPr>
          <w:sz w:val="20"/>
          <w:szCs w:val="20"/>
          <w:color w:val="auto"/>
        </w:rPr>
      </w:pPr>
    </w:p>
    <w:p>
      <w:pPr>
        <w:ind w:right="40" w:firstLine="405"/>
        <w:spacing w:after="0" w:line="245" w:lineRule="auto"/>
        <w:rPr>
          <w:sz w:val="20"/>
          <w:szCs w:val="20"/>
          <w:color w:val="auto"/>
        </w:rPr>
      </w:pPr>
      <w:r>
        <w:rPr>
          <w:rFonts w:ascii="Times New Roman" w:cs="Times New Roman" w:eastAsia="Times New Roman" w:hAnsi="Times New Roman"/>
          <w:sz w:val="18"/>
          <w:szCs w:val="18"/>
          <w:color w:val="auto"/>
        </w:rPr>
        <w:t>On March 31, 2025, IAC completed the spin-off of Angi Inc. (“Angi”) by means of a special dividend (the “Distribution”) of all shares of Angi capital stock held by IAC to holders of its common stock and Class B common stock. Following the Distribution, IAC no longer owns any shares of Angi’s capital stock and Angi became an independent public company. As a result of the Distribution, the consolidated operations of Angi are presented as discontinued operations within IAC’s consolidated financial statements for all periods prior to March 31, 2025.</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12—Discontinued Operations</w:t>
      </w:r>
      <w:r>
        <w:rPr>
          <w:rFonts w:ascii="Times New Roman" w:cs="Times New Roman" w:eastAsia="Times New Roman" w:hAnsi="Times New Roman"/>
          <w:sz w:val="18"/>
          <w:szCs w:val="18"/>
          <w:color w:val="auto"/>
        </w:rPr>
        <w:t>” for additional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(referred to herein as “financial statements”) in accordance with United States (“U.S.”) generally accepted accounting principles (“GAAP”). The financial statements include all accounts of the Company, all entities that are wholly-owned by the Company and all entities in which the Company has a controlling financial interest. All intercompany transactions and balances between entities comprising the Company have been eliminated.</w:t>
      </w:r>
    </w:p>
    <w:p>
      <w:pPr>
        <w:spacing w:after="0" w:line="18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unaudited interim financial statements have been prepared in accordance with GAAP for interim financial information and with the rules and regulations of the Securities and Exchange Commission (“SEC”). Accordingly, they do not include all the information and notes required by GAAP for complete annual financial statements. In the opinion of management, the unaudited interim financial statements include all normal recurring adjustments considered necessary for a fair presentation. Interim results are not necessarily indicative of the results that may be expected for the full year. The unaudited interim financial statements should be read in conjunction with the annual audited financial statements and notes thereto included in the Company's Annual Report on Form 10-K for the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229"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Management of the Company is required to make certain estimates, judgments and assumptions, if applicable, during the preparation of its financial statements in accordance with GAAP. These estimates, judgments and assumptions affect the amounts reported in the financial statements and the disclosures in the accompanying notes. Actual results could differ from these estimates.</w:t>
      </w:r>
    </w:p>
    <w:p>
      <w:pPr>
        <w:spacing w:after="0" w:line="176"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an ongoing basis, the Company evaluates its estimates, judgments and assumptions, if applicable, including those related to: the fair value of cash equivalents; the carrying value of accounts receivable, including the determination of the allowance for credit losses; the recoverability of right-of-use assets (“ROU assets”); the useful lives and recoverability of buildings, equipment, leasehold improvements and capitalized software and definite-lived intangible assets; the recoverability of goodwill and indefinite-lived intangible assets; the fair value of equity securities without readily determinable fair values; the fair value of interest rate swaps; contingencies; unrecognized tax benefits; the valuation allowance for deferred income tax assets; pension and post-retirement benefit plan assets and liabilities, including actuarial assumptions regarding discount rates, expected returns on plan assets, inflation and healthcare costs; and the fair value of and forfeiture rates for stock-based awards, among others. The Company bases its estimates, judgments and assumptions on historical experience, its forecasts and budgets and other factors that the Company considers relevant.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Revenue Recognition</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accounts for a contract with a customer when it has approval and commitment from all authorized parties, the rights of the parties and payment terms are identified, the contract has commercial substance and collectability of the consideration is probable. Revenue is recognized when control of the promised services or goods is transferred to the Company’s customers and in an amount that reflects the consideration the Company expects to be entitled to in exchange for those services or goods.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disaggregated revenue disclosures are presented in “</w:t>
      </w:r>
      <w:r>
        <w:rPr>
          <w:rFonts w:ascii="Times New Roman" w:cs="Times New Roman" w:eastAsia="Times New Roman" w:hAnsi="Times New Roman"/>
          <w:sz w:val="18"/>
          <w:szCs w:val="18"/>
          <w:u w:val="single" w:color="auto"/>
          <w:color w:val="0000FF"/>
        </w:rPr>
        <w:t>Note 5—Segment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 and Exemptions</w:t>
      </w:r>
    </w:p>
    <w:p>
      <w:pPr>
        <w:spacing w:after="0" w:line="22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For contracts that have an original duration of one year or less, the Company uses the practical expedient available under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applicable to such contracts and does not consider the time value of money.</w:t>
      </w:r>
    </w:p>
    <w:p>
      <w:pPr>
        <w:spacing w:after="0" w:line="17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In addition, as permitted under the practical expedient available under ASC 606, the Company does not disclose the value of unsatisfied performance obligations for (i) contracts with an original expected length of one year or less, (ii) contracts with variable consideration that is tied to sales-based or usage-based royalties, allocated entirely to unsatisfied performance obligations, or to a wholly unsatisfied promise accounted for under the series guidance and (iii) contracts for which the Company recognizes revenue at the amount which it has the right to invoice for services performed.</w:t>
      </w:r>
    </w:p>
    <w:p>
      <w:pPr>
        <w:spacing w:after="0" w:line="180" w:lineRule="exact"/>
        <w:rPr>
          <w:sz w:val="20"/>
          <w:szCs w:val="20"/>
          <w:color w:val="auto"/>
        </w:rPr>
      </w:pPr>
    </w:p>
    <w:p>
      <w:pPr>
        <w:ind w:right="820" w:firstLine="405"/>
        <w:spacing w:after="0" w:line="282" w:lineRule="auto"/>
        <w:rPr>
          <w:sz w:val="20"/>
          <w:szCs w:val="20"/>
          <w:color w:val="auto"/>
        </w:rPr>
      </w:pPr>
      <w:r>
        <w:rPr>
          <w:rFonts w:ascii="Times New Roman" w:cs="Times New Roman" w:eastAsia="Times New Roman" w:hAnsi="Times New Roman"/>
          <w:sz w:val="18"/>
          <w:szCs w:val="18"/>
          <w:color w:val="auto"/>
        </w:rPr>
        <w:t>The Company also applies the practical expedient to expense commissions paid pursuant to sales incentive programs as incurred where the anticipated customer relationship period is one year or less.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Deferred revenue consists of payments received or amounts contractually due in advance of the Company's performance obligation. The Company’s deferred revenue is reported on a contract-by-contract basis at the end of each reporting period. The Company classifies deferred revenue as current when the remaining term or expected completion of its performance obligation is one year or less.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changes in deferred revenue: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31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6"/>
                <w:szCs w:val="16"/>
                <w:color w:val="auto"/>
              </w:rPr>
            </w:pPr>
          </w:p>
        </w:tc>
      </w:tr>
      <w:tr>
        <w:trPr>
          <w:trHeight w:val="24"/>
        </w:trPr>
        <w:tc>
          <w:tcPr>
            <w:tcW w:w="7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r>
      <w:tr>
        <w:trPr>
          <w:trHeight w:val="196"/>
        </w:trPr>
        <w:tc>
          <w:tcPr>
            <w:tcW w:w="7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6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7"/>
                <w:szCs w:val="17"/>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16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19,068</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20,309</w:t>
            </w: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deferred revenue balance recognized during the period</w:t>
            </w:r>
          </w:p>
        </w:tc>
        <w:tc>
          <w:tcPr>
            <w:tcW w:w="1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(15,309)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(16,124)</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primarily due to timing of collections and recognition</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17,374</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16,160</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16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21,133</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20,345</w:t>
            </w:r>
          </w:p>
        </w:tc>
      </w:tr>
      <w:tr>
        <w:trPr>
          <w:trHeight w:val="20"/>
        </w:trPr>
        <w:tc>
          <w:tcPr>
            <w:tcW w:w="7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Non-current deferred revenue was $0.2 million and less than $0.1 million at March 31, 2026 and December 31, 2025, respectively and is included in “Other long-term liabilities” in the balance sheet.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Concentrations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 with Google and the Shutdown of the Search Segment</w:t>
      </w:r>
    </w:p>
    <w:p>
      <w:pPr>
        <w:spacing w:after="0" w:line="22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On December 10, 2025, the Company received a notice of non-renewal (the “Notice”) from Google of the services agreement, dated October 26, 2015 and as subsequently amended (the “Services Agreement”). As a result of the Notice, the Services Agreement was due to expire on March 31, 2026; the Services Agreement was extended through April 30, 2026, at which point the Services Agreement expired.</w:t>
      </w:r>
    </w:p>
    <w:p>
      <w:pPr>
        <w:spacing w:after="0" w:line="162" w:lineRule="exact"/>
        <w:rPr>
          <w:sz w:val="20"/>
          <w:szCs w:val="20"/>
          <w:color w:val="auto"/>
        </w:rPr>
      </w:pPr>
    </w:p>
    <w:p>
      <w:pPr>
        <w:ind w:right="180" w:firstLine="405"/>
        <w:spacing w:after="0" w:line="245" w:lineRule="auto"/>
        <w:rPr>
          <w:sz w:val="20"/>
          <w:szCs w:val="20"/>
          <w:color w:val="auto"/>
        </w:rPr>
      </w:pPr>
      <w:r>
        <w:rPr>
          <w:rFonts w:ascii="Times New Roman" w:cs="Times New Roman" w:eastAsia="Times New Roman" w:hAnsi="Times New Roman"/>
          <w:sz w:val="18"/>
          <w:szCs w:val="18"/>
          <w:color w:val="auto"/>
        </w:rPr>
        <w:t>All revenue attributable to the Services Agreement was earned exclusively by the Company’s Search segment. The Company earns certain other advertising revenue from Google that is not attributable to the Services Agreement, and such advertising revenue is not affected by the expiration of the Services Agreement. A portion of the Company’s net cash from operating activities that it could freely access was attributable to revenue earned pursuant to the Services Agreement.</w:t>
      </w:r>
    </w:p>
    <w:p>
      <w:pPr>
        <w:spacing w:after="0" w:line="181"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revenue earned by the Company from Google and revenue earned by the Company’s Search segment from the Services Agreement: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60" w:type="dxa"/>
            <w:vAlign w:val="bottom"/>
            <w:gridSpan w:val="3"/>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68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68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7"/>
                <w:szCs w:val="17"/>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Google revenue</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38,474</w:t>
            </w:r>
          </w:p>
        </w:tc>
        <w:tc>
          <w:tcPr>
            <w:tcW w:w="7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96,945</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total revenue</w:t>
            </w:r>
          </w:p>
        </w:tc>
        <w:tc>
          <w:tcPr>
            <w:tcW w:w="520" w:type="dxa"/>
            <w:vAlign w:val="bottom"/>
          </w:tcPr>
          <w:p>
            <w:pPr>
              <w:spacing w:after="0"/>
              <w:rPr>
                <w:sz w:val="19"/>
                <w:szCs w:val="19"/>
                <w:color w:val="auto"/>
              </w:rPr>
            </w:pPr>
          </w:p>
        </w:tc>
        <w:tc>
          <w:tcPr>
            <w:tcW w:w="1640" w:type="dxa"/>
            <w:vAlign w:val="bottom"/>
          </w:tcPr>
          <w:p>
            <w:pPr>
              <w:jc w:val="center"/>
              <w:ind w:right="437"/>
              <w:spacing w:after="0"/>
              <w:rPr>
                <w:sz w:val="20"/>
                <w:szCs w:val="20"/>
                <w:color w:val="auto"/>
              </w:rPr>
            </w:pPr>
            <w:r>
              <w:rPr>
                <w:rFonts w:ascii="Times New Roman" w:cs="Times New Roman" w:eastAsia="Times New Roman" w:hAnsi="Times New Roman"/>
                <w:sz w:val="18"/>
                <w:szCs w:val="18"/>
                <w:color w:val="auto"/>
                <w:w w:val="99"/>
              </w:rPr>
              <w:t>9%</w:t>
            </w:r>
          </w:p>
        </w:tc>
        <w:tc>
          <w:tcPr>
            <w:tcW w:w="740" w:type="dxa"/>
            <w:vAlign w:val="bottom"/>
          </w:tcPr>
          <w:p>
            <w:pPr>
              <w:spacing w:after="0"/>
              <w:rPr>
                <w:sz w:val="19"/>
                <w:szCs w:val="19"/>
                <w:color w:val="auto"/>
              </w:rPr>
            </w:pPr>
          </w:p>
        </w:tc>
        <w:tc>
          <w:tcPr>
            <w:tcW w:w="1480" w:type="dxa"/>
            <w:vAlign w:val="bottom"/>
          </w:tcPr>
          <w:p>
            <w:pPr>
              <w:jc w:val="center"/>
              <w:ind w:right="573"/>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6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Agreement revenue</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16,913</w:t>
            </w:r>
          </w:p>
        </w:tc>
        <w:tc>
          <w:tcPr>
            <w:tcW w:w="7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69,829</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percentage of total Search revenue</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right="457"/>
              <w:spacing w:after="0"/>
              <w:rPr>
                <w:sz w:val="20"/>
                <w:szCs w:val="20"/>
                <w:color w:val="auto"/>
              </w:rPr>
            </w:pPr>
            <w:r>
              <w:rPr>
                <w:rFonts w:ascii="Times New Roman" w:cs="Times New Roman" w:eastAsia="Times New Roman" w:hAnsi="Times New Roman"/>
                <w:sz w:val="18"/>
                <w:szCs w:val="18"/>
                <w:color w:val="auto"/>
              </w:rPr>
              <w:t>99%</w:t>
            </w:r>
          </w:p>
        </w:tc>
        <w:tc>
          <w:tcPr>
            <w:tcW w:w="7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573"/>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total revenue</w:t>
            </w:r>
          </w:p>
        </w:tc>
        <w:tc>
          <w:tcPr>
            <w:tcW w:w="520" w:type="dxa"/>
            <w:vAlign w:val="bottom"/>
          </w:tcPr>
          <w:p>
            <w:pPr>
              <w:spacing w:after="0"/>
              <w:rPr>
                <w:sz w:val="20"/>
                <w:szCs w:val="20"/>
                <w:color w:val="auto"/>
              </w:rPr>
            </w:pPr>
          </w:p>
        </w:tc>
        <w:tc>
          <w:tcPr>
            <w:tcW w:w="1640" w:type="dxa"/>
            <w:vAlign w:val="bottom"/>
          </w:tcPr>
          <w:p>
            <w:pPr>
              <w:jc w:val="center"/>
              <w:ind w:right="437"/>
              <w:spacing w:after="0"/>
              <w:rPr>
                <w:sz w:val="20"/>
                <w:szCs w:val="20"/>
                <w:color w:val="auto"/>
              </w:rPr>
            </w:pPr>
            <w:r>
              <w:rPr>
                <w:rFonts w:ascii="Times New Roman" w:cs="Times New Roman" w:eastAsia="Times New Roman" w:hAnsi="Times New Roman"/>
                <w:sz w:val="18"/>
                <w:szCs w:val="18"/>
                <w:color w:val="auto"/>
                <w:w w:val="99"/>
              </w:rPr>
              <w:t>4%</w:t>
            </w:r>
          </w:p>
        </w:tc>
        <w:tc>
          <w:tcPr>
            <w:tcW w:w="740" w:type="dxa"/>
            <w:vAlign w:val="bottom"/>
          </w:tcPr>
          <w:p>
            <w:pPr>
              <w:spacing w:after="0"/>
              <w:rPr>
                <w:sz w:val="20"/>
                <w:szCs w:val="20"/>
                <w:color w:val="auto"/>
              </w:rPr>
            </w:pPr>
          </w:p>
        </w:tc>
        <w:tc>
          <w:tcPr>
            <w:tcW w:w="1480" w:type="dxa"/>
            <w:vAlign w:val="bottom"/>
          </w:tcPr>
          <w:p>
            <w:pPr>
              <w:jc w:val="center"/>
              <w:ind w:right="573"/>
              <w:spacing w:after="0"/>
              <w:rPr>
                <w:sz w:val="20"/>
                <w:szCs w:val="20"/>
                <w:color w:val="auto"/>
              </w:rPr>
            </w:pPr>
            <w:r>
              <w:rPr>
                <w:rFonts w:ascii="Times New Roman" w:cs="Times New Roman" w:eastAsia="Times New Roman" w:hAnsi="Times New Roman"/>
                <w:sz w:val="18"/>
                <w:szCs w:val="18"/>
                <w:color w:val="auto"/>
              </w:rPr>
              <w:t>14%</w:t>
            </w:r>
          </w:p>
        </w:tc>
      </w:tr>
    </w:tbl>
    <w:p>
      <w:pPr>
        <w:spacing w:after="0" w:line="260" w:lineRule="exact"/>
        <w:rPr>
          <w:sz w:val="20"/>
          <w:szCs w:val="20"/>
          <w:color w:val="auto"/>
        </w:rPr>
      </w:pPr>
    </w:p>
    <w:p>
      <w:pPr>
        <w:ind w:right="160" w:firstLine="405"/>
        <w:spacing w:after="0" w:line="250" w:lineRule="auto"/>
        <w:rPr>
          <w:sz w:val="20"/>
          <w:szCs w:val="20"/>
          <w:color w:val="auto"/>
        </w:rPr>
      </w:pPr>
      <w:r>
        <w:rPr>
          <w:rFonts w:ascii="Times New Roman" w:cs="Times New Roman" w:eastAsia="Times New Roman" w:hAnsi="Times New Roman"/>
          <w:sz w:val="18"/>
          <w:szCs w:val="18"/>
          <w:color w:val="auto"/>
        </w:rPr>
        <w:t>In connection with the expiration of the Services Agreement the Company ceased operations of its Search segment. The operations of the Search segment will be presented as discontinued operations within IAC’s financial statements in the second quarter of 2026 and prior periods will reflect Search as discontinued operations to conform to this presentation.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 by the Company</w:t>
      </w:r>
    </w:p>
    <w:p>
      <w:pPr>
        <w:spacing w:after="0" w:line="227" w:lineRule="exact"/>
        <w:rPr>
          <w:sz w:val="20"/>
          <w:szCs w:val="20"/>
          <w:color w:val="auto"/>
        </w:rPr>
      </w:pPr>
    </w:p>
    <w:p>
      <w:pPr>
        <w:ind w:right="1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ASU No. 2024-03—Income Statement-Reporting Comprehensive Income—Expense Disaggregation Disclosures (Subtopic 220-40)—Disaggregation of Income Statement Expenses</w:t>
      </w:r>
    </w:p>
    <w:p>
      <w:pPr>
        <w:spacing w:after="0" w:line="16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which is intended to provide users of financial statements with more decision-useful information about expenses of a public business entity, primarily through enhanced disclosures of certain components of expenses commonly presented within captions on the statement of operations, such as purchases of inventory, employee compensation, depreciation and amortization, as well as a qualitative description of the amounts remaining in relevant expense captions that are not separately disaggregated quantitatively. ASU No. 2024-03 also requires disclosure of the total amount of selling expenses and, in annual reporting periods, the definition of selling expenses. ASU No. 2024-03 is effective for fiscal years beginning after December 15, 2026 and for interim periods beginning after December 15, 2027. Early adoption is permitted and ASU No. 2024-03 may be applied either prospectively or retrospectively. ASU No. 2024-03 does not affect the Company’s results of operations, financial condition or cash flows. The Company plans to apply ASU 2024-03 on a prospective basis and does not plan to early adopt ASU No. 2024-03; the Company is currently assessing its impact on its disclosures.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ASU No. 2025-06—Intangibles—Goodwill and Other— Internal-Use Software (Subtopic 350-40): Targeted Improvements to Accounting for Internal-Use Software</w:t>
      </w:r>
    </w:p>
    <w:p>
      <w:pPr>
        <w:spacing w:after="0" w:line="16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No. 2025-06, which amends the existing standard by removing references to software development project stages and clarifying the criteria for capitalization. ASU No. 2025-06 is effective for fiscal years beginning after December 15, 2027 and for interim periods within those fiscal years. Early adoption is permitted, and ASU No. 2025-06 may be applied prospectively, retrospectively or with a modified transition approach. The Company expects to adopt ASU No. 2025-06 on a prospective basis and is assessing its impact on its results of operations, financial condition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2—FINANCIAL INSTRUMENTS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MGM</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6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gridSpan w:val="4"/>
          </w:tcPr>
          <w:p>
            <w:pPr>
              <w:jc w:val="right"/>
              <w:ind w:right="139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61"/>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MGM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2,473,095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2,401,858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At March 31, 2026, the Company owns 66.8 million common shares of MGM, including 1.0 million common shares purchased in the first quarter of 2026 for $37.2 million, which represents approximately 26.1% of MGM's common shares outstanding. The Company accounts for its investment in MGM under the equity method of accounting using the fair value option. The fair value of the investment in MGM is remeasured each reporting period based upon MGM’s closing stock price on the New York Stock Exchange on the last trading day in the reporting period; any unrealized pre-tax gains or losses are included in the statement of operations. For the three months ended March 31, 2026 and 2025, the Company recorded an unrealized pre-tax gain of $34.0 million and an unrealized pre-tax loss of $324.3 million, respectively, from its investment in MGM. The cumulative unrealized net pre-tax gain through March 31, 2026 is $1.1 billion. A $2.00 increase or decrease in the share price of MGM would result in an unrealized gain or loss, respectively, of $133.6 million.</w:t>
      </w:r>
    </w:p>
    <w:p>
      <w:pPr>
        <w:spacing w:after="0" w:line="19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On April 3, 2026, the Company entered into a voting agreement with MGM and Barry Diller (the “Voting Agreement”). Pursuant to the Voting Agreement, when a matter is brought to a vote at an annual or special MGM shareholder meeting (or by written consent in lieu of a meeting), the Company, Mr. Diller and their controlled affiliates (the “Covered Entities”) will vote the voting securities they beneficially own in excess of 25.73% of MGM’s total voting power (the “Excess Voting Securities”) in the same proportion as MGM’s other voting shareholders vote on that matter (excluding shareholders who do not vote).</w:t>
      </w:r>
    </w:p>
    <w:p>
      <w:pPr>
        <w:spacing w:after="0" w:line="183"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Voting Agreement automatically terminates upon the earliest of: (a) the Covered Entities collectively ceasing to beneficially own at least 17.5% of MGM’s outstanding voting securities; (b) the MGM Board’s failure to nominate two directors designated by the Company (if the Company has designated two directors) who qualify under MGM’s Corporate Governance Guidelines (“Qualified Directors”) to stand for election; or (c) a change of control of MGM. If the Company chooses not to designate one or more directors, the Voting Agreement does not terminate. If at any time, the MGM Board has fewer than two Company designated directors, the MGM Board must add Qualified Director(s) within one month of the Company’s designation (subject to required regulatory approvals). At signing, Mr. Diller was deemed designated by the Company to serve on the MGM Board.</w:t>
      </w:r>
    </w:p>
    <w:p>
      <w:pPr>
        <w:spacing w:after="0" w:line="187" w:lineRule="exact"/>
        <w:rPr>
          <w:sz w:val="20"/>
          <w:szCs w:val="20"/>
          <w:color w:val="auto"/>
        </w:rPr>
      </w:pPr>
    </w:p>
    <w:p>
      <w:pPr>
        <w:ind w:right="340" w:firstLine="405"/>
        <w:spacing w:after="0" w:line="227" w:lineRule="exact"/>
        <w:rPr>
          <w:sz w:val="20"/>
          <w:szCs w:val="20"/>
          <w:color w:val="auto"/>
        </w:rPr>
      </w:pPr>
      <w:r>
        <w:rPr>
          <w:rFonts w:ascii="Times New Roman" w:cs="Times New Roman" w:eastAsia="Times New Roman" w:hAnsi="Times New Roman"/>
          <w:sz w:val="18"/>
          <w:szCs w:val="18"/>
          <w:color w:val="auto"/>
        </w:rPr>
        <w:t>Additionally, Mr. Diller and his controlled affiliates (other than the Company and its affiliates, the “Diller Entities”) will cease to be subject to the voting limitation on the Excess Voting Securities and will no longer be considered Covered Entities when both: (i) Mr. Diller no longer serves as the Company’s Chairman or Senior Executive, and (ii) the Diller Entities no longer beneficially own voting securities of the Company representing at least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 of the Company’s total voting power.</w:t>
      </w:r>
    </w:p>
    <w:p>
      <w:pPr>
        <w:spacing w:after="0" w:line="173"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MGM’s summarized financial information for the three months ended March 31, 2026 and 2025. As noted above, the Company accounts for its investment in MGM under the equity method of accounting using the fair value option. As a result, the carrying value of our investment and the gain or loss in any given period are not necessarily correlated with the income statement information presented below.</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gridSpan w:val="4"/>
          </w:tcPr>
          <w:p>
            <w:pPr>
              <w:jc w:val="right"/>
              <w:ind w:right="139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4,454,718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4,277,082</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4,163,502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3,879,129</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226,731</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MGM</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148,554</w:t>
            </w:r>
          </w:p>
        </w:tc>
      </w:tr>
      <w:tr>
        <w:trPr>
          <w:trHeight w:val="522"/>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7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Long-term investments consist of:</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22"/>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24"/>
                <w:szCs w:val="24"/>
                <w:color w:val="auto"/>
              </w:rPr>
            </w:pPr>
          </w:p>
        </w:tc>
        <w:tc>
          <w:tcPr>
            <w:tcW w:w="16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gridSpan w:val="4"/>
          </w:tcPr>
          <w:p>
            <w:pPr>
              <w:jc w:val="right"/>
              <w:ind w:right="139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without readily determinable fair values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404,628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409,240</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404,628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409,240</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 without Readily Determinable Fair Values</w:t>
      </w:r>
    </w:p>
    <w:p>
      <w:pPr>
        <w:spacing w:after="0" w:line="229"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unrealized pre-tax gains and losses recorded in “Other income, net” in the statement of operations as adjustments to the carrying value of equity securities without readily determinable fair values held at March 31, 2026 and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306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r>
      <w:tr>
        <w:trPr>
          <w:trHeight w:val="196"/>
        </w:trPr>
        <w:tc>
          <w:tcPr>
            <w:tcW w:w="7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8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7"/>
                <w:szCs w:val="17"/>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Downward adjustments including impairments (gross unrealized pre-tax losses)</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(18,045)</w:t>
            </w:r>
          </w:p>
        </w:tc>
      </w:tr>
      <w:tr>
        <w:trPr>
          <w:trHeight w:val="20"/>
        </w:trPr>
        <w:tc>
          <w:tcPr>
            <w:tcW w:w="7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cumulative upward and downward adjustments (including impairments) to the carrying value of equity securities without readily determinable fair values held at March 31, 2026 were $31.4 million and $175.6 million, respectively.</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Realized and unrealized pre-tax gains and losses for the Company’s investments without readily determinable fair values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31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r>
      <w:tr>
        <w:trPr>
          <w:trHeight w:val="196"/>
        </w:trPr>
        <w:tc>
          <w:tcPr>
            <w:tcW w:w="7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2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7"/>
                <w:szCs w:val="17"/>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pre-tax gains, net, for equity securities sold</w:t>
            </w:r>
          </w:p>
        </w:tc>
        <w:tc>
          <w:tcPr>
            <w:tcW w:w="120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pre-tax losses, net, on equity securities held</w:t>
            </w: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(18,045)</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pre-tax losses recognized</w:t>
            </w: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All pre-tax gains and losses on equity securities without readily determinable fair values, realized and unrealized, are recognized in “Other income, net” in the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categorizes its financial instruments measured at fair value into a fair value hierarchy that prioritizes the inputs used in pricing the asset or liability. The three levels of the fair value hierarchy are:</w:t>
      </w:r>
    </w:p>
    <w:p>
      <w:pPr>
        <w:spacing w:after="0" w:line="162" w:lineRule="exact"/>
        <w:rPr>
          <w:sz w:val="20"/>
          <w:szCs w:val="20"/>
          <w:color w:val="auto"/>
        </w:rPr>
      </w:pPr>
    </w:p>
    <w:p>
      <w:pPr>
        <w:ind w:left="42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Level 1: Observable inputs obtained from independent sources, such as quoted market prices for identical assets and liabilities in active markets.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hanging="247"/>
        <w:spacing w:after="0" w:line="258"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Other inputs, which are observable directly or indirectly, such as quoted market prices for similar assets or liabilities in active markets, quoted market prices for identical or similar assets or liabilities in markets that are not active and inputs that are derived principally from or corroborated by observable market data. The fair values of the Company’s Level 2 financial assets are primarily obtained from observable market prices for identical underlying securities that may not be actively traded. Certain of these securities may have different market prices from multiple market data sources, in which case an average market price is used.</w:t>
      </w:r>
    </w:p>
    <w:p>
      <w:pPr>
        <w:spacing w:after="0" w:line="183" w:lineRule="exact"/>
        <w:rPr>
          <w:rFonts w:ascii="Times New Roman" w:cs="Times New Roman" w:eastAsia="Times New Roman" w:hAnsi="Times New Roman"/>
          <w:sz w:val="18"/>
          <w:szCs w:val="18"/>
          <w:color w:val="auto"/>
        </w:rPr>
      </w:pPr>
    </w:p>
    <w:p>
      <w:pPr>
        <w:ind w:left="660" w:right="300" w:hanging="247"/>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which there is little or no market data and require the Company to develop its own assumptions, based on the best information available in the circumstances, about the assumptions market participants would use in pricing the assets or liabilities.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Company’s financial instruments that are measured at fair value on a recurring basis: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1"/>
                <w:szCs w:val="11"/>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902,032</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MGM</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2,473,095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2,473,095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3,375,127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18,808</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3,393,935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2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3"/>
                <w:szCs w:val="23"/>
                <w:color w:val="auto"/>
                <w:vertAlign w:val="superscript"/>
              </w:rPr>
              <w:t>(a)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5" w:lineRule="exact"/>
        <w:rPr>
          <w:sz w:val="20"/>
          <w:szCs w:val="20"/>
          <w:color w:val="auto"/>
        </w:rPr>
      </w:pPr>
    </w:p>
    <w:p>
      <w:pPr>
        <w:ind w:left="660" w:right="120" w:hanging="328"/>
        <w:spacing w:after="0" w:line="284" w:lineRule="auto"/>
        <w:tabs>
          <w:tab w:leader="none" w:pos="581"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The fair value of interest rate swaps was determined using discounted cash flows derived from observable market prices, including swap curves, which are Level 2 inputs. See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u w:val="single" w:color="auto"/>
          <w:color w:val="0000FF"/>
        </w:rPr>
        <w:t>Note 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—Long-term Debt</w:t>
      </w:r>
      <w:r>
        <w:rPr>
          <w:rFonts w:ascii="Times New Roman" w:cs="Times New Roman" w:eastAsia="Times New Roman" w:hAnsi="Times New Roman"/>
          <w:sz w:val="17"/>
          <w:szCs w:val="17"/>
          <w:color w:val="000000"/>
        </w:rPr>
        <w:t>”</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for additional information.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equivalents: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Money market funds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Time deposits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in MGM</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739,891</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739,891</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20,689</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2,401,858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2,401,858</w:t>
            </w:r>
          </w:p>
        </w:tc>
        <w:tc>
          <w:tcPr>
            <w:tcW w:w="0" w:type="dxa"/>
            <w:vAlign w:val="bottom"/>
          </w:tcPr>
          <w:p>
            <w:pPr>
              <w:spacing w:after="0"/>
              <w:rPr>
                <w:sz w:val="1"/>
                <w:szCs w:val="1"/>
                <w:color w:val="auto"/>
              </w:rPr>
            </w:pPr>
          </w:p>
        </w:tc>
      </w:tr>
      <w:tr>
        <w:trPr>
          <w:trHeight w:val="223"/>
        </w:trPr>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3,141,749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20,689</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3,162,438</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-916940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-624840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-334010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-16510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300355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1160" w:val="left"/>
          <w:tab w:leader="none" w:pos="1520" w:val="left"/>
          <w:tab w:leader="none" w:pos="2400" w:val="left"/>
          <w:tab w:leader="none" w:pos="3060" w:val="left"/>
          <w:tab w:leader="none" w:pos="4220" w:val="left"/>
          <w:tab w:leader="none" w:pos="4600" w:val="left"/>
          <w:tab w:leader="none" w:pos="5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(2,018)</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84048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40480" cy="34290"/>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4480" w:space="720"/>
            <w:col w:w="60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22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ROU assets, buildings, equipment, leasehold improvements and capitalized software, are adjusted to fair value only when an impairment is recognized. The Company's financial assets, comprising equity securities without readily determinable fair values, are adjusted to fair value when observable price changes for similar or identical securities are identified or an impairment is recognized. Such fair value measurements are based predominantly on Level 3 inputs.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 only for disclosure purposes</w:t>
      </w:r>
    </w:p>
    <w:p>
      <w:pPr>
        <w:spacing w:after="0" w:line="229" w:lineRule="exact"/>
        <w:rPr>
          <w:sz w:val="20"/>
          <w:szCs w:val="20"/>
          <w:color w:val="auto"/>
        </w:rPr>
      </w:pPr>
    </w:p>
    <w:p>
      <w:pPr>
        <w:ind w:right="80" w:firstLine="405"/>
        <w:spacing w:after="0" w:line="312" w:lineRule="auto"/>
        <w:rPr>
          <w:sz w:val="20"/>
          <w:szCs w:val="20"/>
          <w:color w:val="auto"/>
        </w:rPr>
      </w:pPr>
      <w:r>
        <w:rPr>
          <w:rFonts w:ascii="Times New Roman" w:cs="Times New Roman" w:eastAsia="Times New Roman" w:hAnsi="Times New Roman"/>
          <w:sz w:val="17"/>
          <w:szCs w:val="17"/>
          <w:color w:val="auto"/>
        </w:rPr>
        <w:t>The total fair value of the outstanding long-term debt, including the current portion, is estimated using observable market prices or indices for similar liabilities, which are Level 2 inputs, and was approximately $1.34 billion and $1.33 billion at March 31, 2026 and December 31, 2025,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3—LONG-TERM DEBT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consists of:</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8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gridSpan w:val="4"/>
          </w:tcPr>
          <w:p>
            <w:pPr>
              <w:spacing w:after="0"/>
              <w:rPr>
                <w:sz w:val="3"/>
                <w:szCs w:val="3"/>
                <w:color w:val="auto"/>
              </w:rPr>
            </w:pPr>
          </w:p>
        </w:tc>
      </w:t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4"/>
          </w:tcPr>
          <w:p>
            <w:pPr>
              <w:jc w:val="right"/>
              <w:ind w:right="11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A-1 due May 14, 2030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341,250</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B-2 due June 16, 2032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7.625% Senior Secured Notes due June 15, 2032; interest payable each June 15 and December 15</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1,441,250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original issue discount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1,395,774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1,401,324</w:t>
            </w: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In the second quarter of 2025, People Inc. completed the refinancing and replacement of its then outstanding debt, which comprised the then existing term loans, with a combination of new term loans and senior secured notes. People Inc. also replaced its revolving credit facility.</w:t>
      </w:r>
    </w:p>
    <w:p>
      <w:pPr>
        <w:spacing w:after="0" w:line="16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On May 14, 2025, People Inc. entered into the Incremental Assumption Agreement and Amendment No. 2 to the Credit Agreement (“Amendment No. 2”), which provided for the (i) $350 million of the Term Loan A-1 (“Term Loan A-1”) and (ii) $150 million revolving credit facility (“Revolving Facility”) that expires on May 14, 2030. On June 16, 2025, People Inc. entered into the Credit Agreement and Second Amendment to the Security Agreement (“Amendment No. 3”), which governs the Term Loan A-1, Revolving Facility and provided for the $700 million of the Term Loan B-2 (“Term Loan B-2”). Additionally, on June 16, 2025, People Inc. issued 7.625% Senior Secured Notes (“2032 Notes”) and entered into an indenture that governs the 2032 Notes (the “Indenture”). The Term Loan A-1 and the Term Loan B-2 are collectively referred to herein as the “Term Loans.”</w:t>
      </w:r>
    </w:p>
    <w:p>
      <w:pPr>
        <w:spacing w:after="0" w:line="18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People Inc. has never borrowed under its revolving credit facilities. The annual commitment fee on undrawn funds is based on People Inc.’s most recently reported consolidated net leverage ratio, as defined in the governing agreements, and was 35 basis points at both March 31, 2026 and December 31, 2025. Any borrowings under the Revolving Facility would bear interest, at People Inc.’s option, at either a base rate or secured overnight financing rate (“SOFR”), plus an applicable margin, which is based on People Inc’s consolidated net leverage ratio, as defined in the governing agreements.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As of the last day of any calendar quarter, People Inc. is required to maintain certain consolidated net leverage ratios, as defined in the governing agreements. If defined consolidated net leverage ratios are exceeded or if an event of default has occurred, the governing agreements contain additional covenants that would limit People Inc.’s ability to pay dividends, incur incremental secured indebtedness or make distributions or certain investments. As a result, the Company may not be able to freely access People Inc.’s cash. People Inc.’s consolidated net leverage ratio was in compliance for the test periods ended March 31, 2026 and December 31, 2025.</w:t>
      </w:r>
    </w:p>
    <w:p>
      <w:pPr>
        <w:spacing w:after="0" w:line="18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governing agreements allow the Company to contribute cash to People Inc., which the Company has done in the past and may do so in the future, to provide, among other things, additional liquidity to improve People Inc.’s consolidated net leverage ratios for any test period, which may result in improved interest rates on the Term Loan A-1 and reduced commitment fees on the Revolving Facility. The governing agreements also allow People Inc. to make distributions to the Company in amounts not to exceed these capital contributions, provided that no default has occurred and is continuing. No quarterly contributions have been made to People Inc. since the contribution that the Company made in September 2025, which People Inc. distributed back to the Company in October 2025; therefore, there were no pending contributions or distributions outstanding as of March 31, 2026 and December 31, 2025. No quarterly contributions or distributions were made in the first quarter of 2025.</w:t>
      </w:r>
    </w:p>
    <w:p>
      <w:pPr>
        <w:spacing w:after="0" w:line="18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obligations under the governing agreements are substantially all of the assets of People Inc. and its subsidiaries and are guaranteed by certain People Inc. wholly-owned domestic subsidiaries.</w:t>
      </w:r>
    </w:p>
    <w:p>
      <w:pPr>
        <w:spacing w:after="0" w:line="162"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Pursuant to the governing agreements, the borrower, Dotdash Meredith Inc. (referred to herein as People Inc.), is required to provide the administrative agent, JPMorgan Chase Bank, N.A., and lenders with certain financial information. See “</w:t>
      </w:r>
      <w:r>
        <w:rPr>
          <w:rFonts w:ascii="Times New Roman" w:cs="Times New Roman" w:eastAsia="Times New Roman" w:hAnsi="Times New Roman"/>
          <w:sz w:val="18"/>
          <w:szCs w:val="18"/>
          <w:u w:val="single" w:color="auto"/>
          <w:color w:val="0000FF"/>
        </w:rPr>
        <w:t>Note 13—People Inc. Financial Information</w:t>
      </w:r>
      <w:r>
        <w:rPr>
          <w:rFonts w:ascii="Times New Roman" w:cs="Times New Roman" w:eastAsia="Times New Roman" w:hAnsi="Times New Roman"/>
          <w:sz w:val="18"/>
          <w:szCs w:val="18"/>
          <w:color w:val="auto"/>
        </w:rPr>
        <w:t>” for additional information.</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Long-term Debt Maturities:</w:t>
      </w:r>
    </w:p>
    <w:p>
      <w:pPr>
        <w:spacing w:after="0" w:line="22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Term Loan A-1 requires quarterly principal payments of $4.4 million through December 31, 2027, $8.8 million thereafter through December 31, 2028 and $13.1 million thereafter through maturity. The Term Loan B-2 requires quarterly principal payments, which commenced on March 31, 2026, of $1.8 million through maturity. Annually, the Term Loan B-2 may require additional principal payments as part of an excess cash flow sweep provision, the amount of which is determined, in part, by People Inc.’s applicable net leverage ratio and is further subject to the excess cash flow exceeding certain thresholds as defined in the governing agreements. No such payment was required on the Term Loan B-2 related to the period ended December 31, 2025.</w:t>
      </w:r>
    </w:p>
    <w:p>
      <w:pPr>
        <w:spacing w:after="0" w:line="183"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Any time prior to June 15, 2028, People Inc. may provide notice pursuant to the Indenture to redeem all or a part of the 2032 Notes at a redemption price equal to 100% of the principal amount of the 2032 Notes to be redeemed, plus a premium defined in the Indenture and accrued and unpaid interest. Thereafter, the 2032 Notes may be redeemed at the prices set forth in the Indenture, plus accrued and unpaid interest.</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Rates and Interest Rate Swaps: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March 31, 2026 and December 31, 2025, the Term Loan A-1 bore interest at SOFR plus 2.00%, or 5.67% and 5.73%, respectively. At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December 31, 2025, the Term Loan B-2 bore interest at SOFR, subject to a minimum of 0.50%, plus 3.50%, or 7.17% and 7.37%,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payments are due at least quarterly through the respective maturity dates of the Term Loans.</w:t>
      </w:r>
    </w:p>
    <w:p>
      <w:pPr>
        <w:spacing w:after="0" w:line="20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People Inc. holds interest rate swaps that synthetically convert $350 million of the Term Loan B-2 from a variable rate to a fixed rate through April 1, 2027. Should SOFR continue to equal or exceed 0.50%, then the fixed rate for the Term Loan B-2 will be approximately 7.32% ((i) the weighted average fixed interest rate of approximately 3.82% on the interest rate swaps and (ii) the base rate of 3.50%). In the event SOFR becomes less than or equal to 0.50%, then the interest rate swaps would be fixed in a range from approximately 7.32% to 7.42% as determined by the governing agreements.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 xml:space="preserve">People Inc. has designated the interest rate swaps as cash flow hedges and applies hedge accounting to these contracts in accordance with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Hedge effectiveness was assessed at the time of entering into the interest rate swaps and it was determined they are expected to be highly effective. People Inc. evaluates the hedge effectiveness of the interest rate swaps quarterly, or more frequently, if necessary, by verifying (i) that the critical terms of the interest rate swaps continue to match the critical terms of the hedged interest payments and (ii) that it is probable the counterparties will not default. If the two requirements are met, the interest rate swaps are determined to be effective and all changes in the fair value of the interest rate swaps are recorded in “Accumulated other comprehensive loss.” As cash flow hedges, the interest rate swaps are recognized at fair value on the balance sheet as either assets or liabilities, with the changes in fair value recorded in “Accumulated other comprehensive loss” in the balance sheet. Realized gains or losses are reclassified into “Interest expense” in the statement of operations. The cash flows related to interest settlements of the hedged monthly interest payments are classified as operating activities in the statement of cash flows, consistent with the interest expense on the related debt instrument. See “</w:t>
      </w:r>
      <w:r>
        <w:rPr>
          <w:rFonts w:ascii="Times New Roman" w:cs="Times New Roman" w:eastAsia="Times New Roman" w:hAnsi="Times New Roman"/>
          <w:sz w:val="18"/>
          <w:szCs w:val="18"/>
          <w:u w:val="single" w:color="auto"/>
          <w:color w:val="0000FF"/>
        </w:rPr>
        <w:t>Note 4—Accumulated Other Comprehensive Loss</w:t>
      </w:r>
      <w:r>
        <w:rPr>
          <w:rFonts w:ascii="Times New Roman" w:cs="Times New Roman" w:eastAsia="Times New Roman" w:hAnsi="Times New Roman"/>
          <w:sz w:val="18"/>
          <w:szCs w:val="18"/>
          <w:color w:val="auto"/>
        </w:rPr>
        <w:t>” for the net unrealized gains and losses before reclassifications in “Accumulated other comprehensive loss” and realized gains and losses reclassified into “Interest expense” for the three months ended March 31, 2026 and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4—ACCUMULATED OTHER COMPREHENSIVE LOSS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loss, net of income taxes.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gridSpan w:val="7"/>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r>
      <w:tr>
        <w:trPr>
          <w:trHeight w:val="23"/>
        </w:trPr>
        <w:tc>
          <w:tcPr>
            <w:tcW w:w="7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131"/>
        </w:trPr>
        <w:tc>
          <w:tcPr>
            <w:tcW w:w="7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42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3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46"/>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13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Gains On Interest</w:t>
            </w:r>
          </w:p>
        </w:tc>
        <w:tc>
          <w:tcPr>
            <w:tcW w:w="140" w:type="dxa"/>
            <w:vAlign w:val="bottom"/>
          </w:tcPr>
          <w:p>
            <w:pPr>
              <w:spacing w:after="0"/>
              <w:rPr>
                <w:sz w:val="12"/>
                <w:szCs w:val="12"/>
                <w:color w:val="auto"/>
              </w:rPr>
            </w:pPr>
          </w:p>
        </w:tc>
        <w:tc>
          <w:tcPr>
            <w:tcW w:w="118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r>
      <w:tr>
        <w:trPr>
          <w:trHeight w:val="196"/>
        </w:trPr>
        <w:tc>
          <w:tcPr>
            <w:tcW w:w="7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 Income</w:t>
            </w:r>
          </w:p>
        </w:tc>
      </w:tr>
      <w:tr>
        <w:trPr>
          <w:trHeight w:val="196"/>
        </w:trPr>
        <w:tc>
          <w:tcPr>
            <w:tcW w:w="7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(11,842)</w:t>
            </w:r>
          </w:p>
        </w:tc>
      </w:tr>
      <w:tr>
        <w:trPr>
          <w:trHeight w:val="223"/>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23"/>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1"/>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gridSpan w:val="7"/>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r>
      <w:tr>
        <w:trPr>
          <w:trHeight w:val="23"/>
        </w:trPr>
        <w:tc>
          <w:tcPr>
            <w:tcW w:w="7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128"/>
        </w:trPr>
        <w:tc>
          <w:tcPr>
            <w:tcW w:w="7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00" w:type="dxa"/>
            <w:vAlign w:val="bottom"/>
          </w:tcPr>
          <w:p>
            <w:pPr>
              <w:spacing w:after="0"/>
              <w:rPr>
                <w:sz w:val="11"/>
                <w:szCs w:val="11"/>
                <w:color w:val="auto"/>
              </w:rPr>
            </w:pPr>
          </w:p>
        </w:tc>
        <w:tc>
          <w:tcPr>
            <w:tcW w:w="13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3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37"/>
        </w:trPr>
        <w:tc>
          <w:tcPr>
            <w:tcW w:w="7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2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(Losses) On Interest</w:t>
            </w:r>
          </w:p>
        </w:tc>
        <w:tc>
          <w:tcPr>
            <w:tcW w:w="140" w:type="dxa"/>
            <w:vAlign w:val="bottom"/>
          </w:tcPr>
          <w:p>
            <w:pPr>
              <w:spacing w:after="0"/>
              <w:rPr>
                <w:sz w:val="11"/>
                <w:szCs w:val="11"/>
                <w:color w:val="auto"/>
              </w:rPr>
            </w:pPr>
          </w:p>
        </w:tc>
        <w:tc>
          <w:tcPr>
            <w:tcW w:w="118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r>
      <w:tr>
        <w:trPr>
          <w:trHeight w:val="190"/>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140" w:type="dxa"/>
            <w:vAlign w:val="bottom"/>
          </w:tcPr>
          <w:p>
            <w:pPr>
              <w:spacing w:after="0"/>
              <w:rPr>
                <w:sz w:val="16"/>
                <w:szCs w:val="16"/>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 Income</w:t>
            </w:r>
          </w:p>
        </w:tc>
      </w:tr>
      <w:tr>
        <w:trPr>
          <w:trHeight w:val="23"/>
        </w:trPr>
        <w:tc>
          <w:tcPr>
            <w:tcW w:w="7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w:t>
            </w:r>
          </w:p>
        </w:tc>
      </w:tr>
      <w:tr>
        <w:trPr>
          <w:trHeight w:val="223"/>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30"/>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3"/>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allocated to noncontrolling interests during the period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of Angi</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48"/>
        </w:trPr>
        <w:tc>
          <w:tcPr>
            <w:tcW w:w="7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amount reclassified out of foreign currency translation adjustment into earnings for the three months ended March 31, 2026 relates to the sale of Care.com on March 16, 2026 and is recorded in “Loss on the sale of Care.com, net of income taxes” in the statement of operations.</w:t>
      </w:r>
    </w:p>
    <w:p>
      <w:pPr>
        <w:spacing w:after="0" w:line="162"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At March 31, 2026, $0.5 million is expected to be reclassified into interest expense within the next twelve months as net realized losses related to the interest rate swaps.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At March 31, 2026 and 2025, there was $0.1 million and $0.2 million of deferred income tax benefit, respectively, related to unrealized losses on interest rate swaps.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5—SEGMENT INFORMATION</w:t>
      </w:r>
    </w:p>
    <w:p>
      <w:pPr>
        <w:spacing w:after="0" w:line="216" w:lineRule="exact"/>
        <w:rPr>
          <w:sz w:val="20"/>
          <w:szCs w:val="20"/>
          <w:color w:val="auto"/>
        </w:rPr>
      </w:pPr>
    </w:p>
    <w:p>
      <w:pPr>
        <w:ind w:right="60" w:firstLine="405"/>
        <w:spacing w:after="0" w:line="241" w:lineRule="auto"/>
        <w:rPr>
          <w:sz w:val="20"/>
          <w:szCs w:val="20"/>
          <w:color w:val="auto"/>
        </w:rPr>
      </w:pPr>
      <w:r>
        <w:rPr>
          <w:rFonts w:ascii="Times New Roman" w:cs="Times New Roman" w:eastAsia="Times New Roman" w:hAnsi="Times New Roman"/>
          <w:sz w:val="18"/>
          <w:szCs w:val="18"/>
          <w:color w:val="auto"/>
        </w:rPr>
        <w:t>The overall concept that the Company employs in determining its operating segments is to present the financial information in a manner consistent with the chief operating decision maker’s (“CODM”) view of the businesses. The Office of the Chairman, which is comprised of certain executives and members of the board of directors, is the CODM of the Company. In determining our operating segments, we consider how the businesses are organized as to segment management and the focus of the businesses with regards to the types of services or products offered or the target market. In the case of Emerging &amp; Other, operating segments are combined for reporting purposes because they do not meet the quantitative thresholds that require presentation as separate reportable segments.</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revenue by reportable segment: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r>
      <w:tr>
        <w:trPr>
          <w:trHeight w:val="236"/>
        </w:trPr>
        <w:tc>
          <w:tcPr>
            <w:tcW w:w="8260" w:type="dxa"/>
            <w:vAlign w:val="bottom"/>
            <w:shd w:val="clear" w:color="auto" w:fill="CCEEFF"/>
          </w:tcPr>
          <w:p>
            <w:pPr>
              <w:ind w:left="140"/>
              <w:spacing w:after="0" w:line="235" w:lineRule="exact"/>
              <w:rPr>
                <w:sz w:val="20"/>
                <w:szCs w:val="20"/>
                <w:color w:val="auto"/>
              </w:rPr>
            </w:pPr>
            <w:r>
              <w:rPr>
                <w:rFonts w:ascii="Times New Roman" w:cs="Times New Roman" w:eastAsia="Times New Roman" w:hAnsi="Times New Roman"/>
                <w:sz w:val="18"/>
                <w:szCs w:val="18"/>
                <w:color w:val="auto"/>
              </w:rPr>
              <w:t>People Inc.</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253,223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234,520</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163,270</w:t>
            </w:r>
          </w:p>
        </w:tc>
      </w:tr>
      <w:tr>
        <w:trPr>
          <w:trHeight w:val="229"/>
        </w:trPr>
        <w:tc>
          <w:tcPr>
            <w:tcW w:w="82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Intersegment eliminations</w:t>
            </w:r>
            <w:r>
              <w:rPr>
                <w:rFonts w:ascii="Times New Roman" w:cs="Times New Roman" w:eastAsia="Times New Roman" w:hAnsi="Times New Roman"/>
                <w:sz w:val="23"/>
                <w:szCs w:val="23"/>
                <w:color w:val="auto"/>
                <w:vertAlign w:val="superscript"/>
              </w:rPr>
              <w:t>(b)</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w:t>
            </w:r>
          </w:p>
        </w:tc>
      </w:tr>
      <w:tr>
        <w:trPr>
          <w:trHeight w:val="22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People Inc.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393,071</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18,287</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481,686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1" w:lineRule="exact"/>
        <w:rPr>
          <w:sz w:val="20"/>
          <w:szCs w:val="20"/>
          <w:color w:val="auto"/>
        </w:rPr>
      </w:pPr>
    </w:p>
    <w:p>
      <w:pPr>
        <w:ind w:left="660" w:right="200" w:hanging="328"/>
        <w:spacing w:after="0" w:line="230" w:lineRule="auto"/>
        <w:tabs>
          <w:tab w:leader="none" w:pos="583"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Effective January 1, 2026, People Inc. changed its internal management reporting structure to better align and support its D/Cipher advertising capabilities. As a result, the digital portion of a legacy agency business that had previously been included within the People Inc. Print segment now reports to the D/Cipher management team within the People Inc. Digital segment. This change allows D/Cipher to leverage the agency business as a sales channel and to achieve operational and performance efficiencies. As a result of this change, financial information for both the People Inc. Print and Digital segments for prior periods has been recast to conform to the current period presentation.</w:t>
      </w:r>
    </w:p>
    <w:p>
      <w:pPr>
        <w:spacing w:after="0" w:line="188" w:lineRule="exact"/>
        <w:rPr>
          <w:rFonts w:ascii="Times New Roman" w:cs="Times New Roman" w:eastAsia="Times New Roman" w:hAnsi="Times New Roman"/>
          <w:sz w:val="19"/>
          <w:szCs w:val="19"/>
          <w:color w:val="auto"/>
          <w:vertAlign w:val="superscript"/>
        </w:rPr>
      </w:pPr>
    </w:p>
    <w:p>
      <w:pPr>
        <w:ind w:left="580" w:hanging="248"/>
        <w:spacing w:after="0"/>
        <w:tabs>
          <w:tab w:leader="none" w:pos="58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Intersegment eliminations relate to People Inc. Digital performance marketing commissions earned for the placement of magazine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Disaggregated Revenue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revenue of the Company’s segments disaggregated by type of service: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b w:val="1"/>
                <w:bCs w:val="1"/>
                <w:color w:val="auto"/>
              </w:rPr>
              <w:t>People Inc.</w:t>
            </w:r>
            <w:r>
              <w:rPr>
                <w:rFonts w:ascii="Times New Roman" w:cs="Times New Roman" w:eastAsia="Times New Roman" w:hAnsi="Times New Roman"/>
                <w:sz w:val="23"/>
                <w:szCs w:val="23"/>
                <w:b w:val="1"/>
                <w:bCs w:val="1"/>
                <w:color w:val="auto"/>
                <w:vertAlign w:val="superscript"/>
              </w:rPr>
              <w:t>(a)</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144,873</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marketing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57,266</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32,381</w:t>
            </w:r>
          </w:p>
        </w:tc>
      </w:tr>
      <w:tr>
        <w:trPr>
          <w:trHeight w:val="223"/>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Digital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234,520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74,346</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37,243</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Newsstand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28,095</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Project and other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w:t>
            </w:r>
          </w:p>
        </w:tc>
      </w:tr>
      <w:tr>
        <w:trPr>
          <w:trHeight w:val="22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Performance marketing 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w:t>
            </w:r>
          </w:p>
        </w:tc>
      </w:tr>
      <w:tr>
        <w:trPr>
          <w:trHeight w:val="22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Print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163,270</w:t>
            </w:r>
          </w:p>
        </w:tc>
      </w:tr>
      <w:tr>
        <w:trPr>
          <w:trHeight w:val="229"/>
        </w:trPr>
        <w:tc>
          <w:tcPr>
            <w:tcW w:w="82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eliminations</w:t>
            </w:r>
            <w:r>
              <w:rPr>
                <w:rFonts w:ascii="Times New Roman" w:cs="Times New Roman" w:eastAsia="Times New Roman" w:hAnsi="Times New Roman"/>
                <w:sz w:val="23"/>
                <w:szCs w:val="23"/>
                <w:color w:val="auto"/>
                <w:vertAlign w:val="superscript"/>
              </w:rPr>
              <w:t>(b)</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People Inc.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393,071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Search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revenue: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Google advertising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70,214</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Non-Google advertising 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advertising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70,320</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Search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Session-based revenue is related to advertisements served or performance marketing referrals initiated during a session, which is defined as a unique visit to a site that is part of the People Inc.’s network. Session-based revenue includes Advertising and Performance marketing revenue earned from People Inc.’s owned and operated or affiliated sites. Non-session-based revenue is related to revenue not dependent upon a session and primarily includes Advertising and Performance marketing revenue earned outside a session on People Inc.’s owned and operated or affiliated sites, such as D/Cipher+, native campaigns, social platforms, email and affinity marketing and all Licensing and other revenue. The following table presents Digital revenue further disaggregated by session and non-session-based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r>
      <w:tr>
        <w:trPr>
          <w:trHeight w:val="196"/>
        </w:trPr>
        <w:tc>
          <w:tcPr>
            <w:tcW w:w="7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4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7"/>
                <w:szCs w:val="17"/>
                <w:color w:val="auto"/>
              </w:rPr>
            </w:pP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Session-based</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150,478</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151,882</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Non-session-based</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102,745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82,638</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Digital revenue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253,223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234,520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Expenses</w:t>
      </w:r>
    </w:p>
    <w:p>
      <w:pPr>
        <w:spacing w:after="0" w:line="22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significant segment expenses regularly provided to the CODM for each of the Company’s reportable segments that are included in determining Segment Adjusted EBITDA, which is the Company’s segment reporting performance measure: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b w:val="1"/>
                <w:bCs w:val="1"/>
                <w:color w:val="auto"/>
              </w:rPr>
              <w:t>People Inc.</w:t>
            </w:r>
            <w:r>
              <w:rPr>
                <w:rFonts w:ascii="Times New Roman" w:cs="Times New Roman" w:eastAsia="Times New Roman" w:hAnsi="Times New Roman"/>
                <w:sz w:val="23"/>
                <w:szCs w:val="23"/>
                <w:b w:val="1"/>
                <w:bCs w:val="1"/>
                <w:color w:val="auto"/>
                <w:vertAlign w:val="superscript"/>
              </w:rPr>
              <w:t>(a)</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76,514</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62,378</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26,372</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27,727</w:t>
            </w:r>
          </w:p>
        </w:tc>
      </w:tr>
      <w:tr>
        <w:trPr>
          <w:trHeight w:val="22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Digital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192,991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76,042</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61,599</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w:t>
            </w:r>
          </w:p>
        </w:tc>
      </w:tr>
      <w:tr>
        <w:trPr>
          <w:trHeight w:val="22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2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Print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26"/>
                <w:szCs w:val="26"/>
                <w:color w:val="auto"/>
                <w:vertAlign w:val="subscript"/>
              </w:rPr>
              <w:t>Other</w:t>
            </w:r>
            <w:r>
              <w:rPr>
                <w:rFonts w:ascii="Times New Roman" w:cs="Times New Roman" w:eastAsia="Times New Roman" w:hAnsi="Times New Roman"/>
                <w:sz w:val="10"/>
                <w:szCs w:val="10"/>
                <w:color w:val="auto"/>
              </w:rPr>
              <w:t>(c)(d)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(24,481)</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People Inc.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312,780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Search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Traffic acquisition costs and online marketing</w:t>
            </w:r>
            <w:r>
              <w:rPr>
                <w:rFonts w:ascii="Times New Roman" w:cs="Times New Roman" w:eastAsia="Times New Roman" w:hAnsi="Times New Roman"/>
                <w:sz w:val="23"/>
                <w:szCs w:val="23"/>
                <w:color w:val="auto"/>
                <w:vertAlign w:val="superscript"/>
              </w:rPr>
              <w:t>(e)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59,951</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(f)</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Search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67,320</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82"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comprises unallocated corporate expenses.</w:t>
      </w:r>
    </w:p>
    <w:p>
      <w:pPr>
        <w:spacing w:after="0" w:line="189" w:lineRule="exact"/>
        <w:rPr>
          <w:rFonts w:ascii="Times New Roman" w:cs="Times New Roman" w:eastAsia="Times New Roman" w:hAnsi="Times New Roman"/>
          <w:sz w:val="19"/>
          <w:szCs w:val="19"/>
          <w:color w:val="auto"/>
          <w:vertAlign w:val="superscript"/>
        </w:rPr>
      </w:pPr>
    </w:p>
    <w:p>
      <w:pPr>
        <w:ind w:left="660" w:right="20" w:hanging="328"/>
        <w:spacing w:after="0" w:line="271" w:lineRule="auto"/>
        <w:tabs>
          <w:tab w:leader="none" w:pos="586"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three months ended March 31, 2025 include a net gain of $36.2 million resulting from an amendment to a lease, which provided for the surrender of certain office space early and is included in “General and Administrative expenses” in the statement of operations. Prior to this amendment, the lease for this office space would have expired in 2032. The ROU asset of the amended lease had been previously impaired in prior years.</w:t>
      </w:r>
    </w:p>
    <w:p>
      <w:pPr>
        <w:spacing w:after="0" w:line="62" w:lineRule="exact"/>
        <w:rPr>
          <w:rFonts w:ascii="Times New Roman" w:cs="Times New Roman" w:eastAsia="Times New Roman" w:hAnsi="Times New Roman"/>
          <w:sz w:val="9"/>
          <w:szCs w:val="9"/>
          <w:color w:val="auto"/>
        </w:rPr>
      </w:pPr>
    </w:p>
    <w:p>
      <w:pPr>
        <w:ind w:left="660" w:right="420" w:hanging="328"/>
        <w:spacing w:after="0" w:line="302" w:lineRule="auto"/>
        <w:tabs>
          <w:tab w:leader="none" w:pos="581"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Traffic acquisition costs include payments made to partners that direct traffic to our Ask Media Group websites and distribute our business-to-business customized browser-based applications and online marketing, which include fees paid to search engines and other marketing platforms.</w:t>
      </w:r>
    </w:p>
    <w:p>
      <w:pPr>
        <w:spacing w:after="0" w:line="131" w:lineRule="exact"/>
        <w:rPr>
          <w:rFonts w:ascii="Times New Roman" w:cs="Times New Roman" w:eastAsia="Times New Roman" w:hAnsi="Times New Roman"/>
          <w:sz w:val="9"/>
          <w:szCs w:val="9"/>
          <w:color w:val="auto"/>
        </w:rPr>
      </w:pPr>
    </w:p>
    <w:p>
      <w:pPr>
        <w:ind w:left="560" w:hanging="228"/>
        <w:spacing w:after="0"/>
        <w:tabs>
          <w:tab w:leader="none" w:pos="5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Search other segment items include compensation expense, excluding stock-based compensation, and other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 Performance Measure and Reconciliations</w:t>
      </w:r>
    </w:p>
    <w:p>
      <w:pPr>
        <w:spacing w:after="0" w:line="22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Adjusted EBITDA is the segment reporting performance measure used by the CODM as one of the metrics by which we evaluate the performance of our businesses and our internal budgets are based and may impact management compensation. Adjusted EBITDA is defined as operating income excluding: (1) stock-based compensation expense; (2) depreciation; and (3) acquisition-related items consisting of (i) amortization of intangible assets and impairments of goodwill and intangible assets, if applicable, and (ii) gains and losses recognized on changes in the fair value of contingent consideration arrangements, if applicable.</w:t>
      </w:r>
    </w:p>
    <w:p>
      <w:pPr>
        <w:spacing w:after="0" w:line="170" w:lineRule="exact"/>
        <w:rPr>
          <w:sz w:val="20"/>
          <w:szCs w:val="20"/>
          <w:color w:val="auto"/>
        </w:rPr>
      </w:pPr>
    </w:p>
    <w:p>
      <w:pPr>
        <w:ind w:right="300" w:firstLine="405"/>
        <w:spacing w:after="0" w:line="250" w:lineRule="auto"/>
        <w:rPr>
          <w:sz w:val="20"/>
          <w:szCs w:val="20"/>
          <w:color w:val="auto"/>
        </w:rPr>
      </w:pPr>
      <w:r>
        <w:rPr>
          <w:rFonts w:ascii="Times New Roman" w:cs="Times New Roman" w:eastAsia="Times New Roman" w:hAnsi="Times New Roman"/>
          <w:sz w:val="18"/>
          <w:szCs w:val="18"/>
          <w:color w:val="auto"/>
        </w:rPr>
        <w:t>Approximately one-half of our consolidated annual Adjusted EBITDA is generated in the fourth quarter of each fiscal year. This is due to the concentration of spending by advertisers, which drives higher advertising revenue, and consumer spending, which drives higher performance marketing revenue, during the year-end holiday selling season at People Inc.</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summary of Segment Adjusted EBITDA: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People Inc.</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49,912</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41,529</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w:t>
            </w:r>
          </w:p>
        </w:tc>
      </w:tr>
      <w:tr>
        <w:trPr>
          <w:trHeight w:val="230"/>
        </w:trPr>
        <w:tc>
          <w:tcPr>
            <w:tcW w:w="82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26"/>
                <w:szCs w:val="26"/>
                <w:color w:val="auto"/>
                <w:vertAlign w:val="subscript"/>
              </w:rPr>
              <w:t>Other</w:t>
            </w:r>
            <w:r>
              <w:rPr>
                <w:rFonts w:ascii="Times New Roman" w:cs="Times New Roman" w:eastAsia="Times New Roman" w:hAnsi="Times New Roman"/>
                <w:sz w:val="10"/>
                <w:szCs w:val="10"/>
                <w:color w:val="auto"/>
              </w:rPr>
              <w:t>(c)(d)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24,481</w:t>
            </w:r>
          </w:p>
        </w:tc>
      </w:tr>
      <w:tr>
        <w:trPr>
          <w:trHeight w:val="22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People Inc.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78,782</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total Segment Adjusted EBITDA to loss from continuing operations before income taxes: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Adjusted EBITDA loss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(42,389)</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(g)</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investment in MGM Resorts International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(324,265)</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(320,823)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660" w:right="40" w:hanging="328"/>
        <w:spacing w:after="0" w:line="230" w:lineRule="auto"/>
        <w:tabs>
          <w:tab w:leader="none" w:pos="586"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months ended March 31, 2025 reflect the reversal of $49.8 million of previously recognized stock-based compensation expense related to the forfeiture of our former Chief Executive Officer’s (“CEO”) restricted stock award pursuant to an employment transition agreement (the “Employment Transition Agreement”) entered into on January 13, 2025, partially offset by $14.9 million of stock-based compensation expense related to the transfer of 5.0 million Class B shares of Angi held by the Company to our former CEO prior to the Distribution pursuant to the Employment Transition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Assets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Segment asset information is not regularly presented to the CODM.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capital expenditures: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r>
      <w:tr>
        <w:trPr>
          <w:trHeight w:val="196"/>
        </w:trPr>
        <w:tc>
          <w:tcPr>
            <w:tcW w:w="8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Inc.</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3,853</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4,136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6—PENSION AND POST-RETIREMENT BENEFIT PLANS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components of net periodic benefit cost for the People Inc. pension and post-retirement benefit plans: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460" w:type="dxa"/>
            <w:vAlign w:val="bottom"/>
          </w:tcPr>
          <w:p>
            <w:pPr>
              <w:spacing w:after="0"/>
              <w:rPr>
                <w:sz w:val="16"/>
                <w:szCs w:val="16"/>
                <w:color w:val="auto"/>
              </w:rPr>
            </w:pPr>
          </w:p>
        </w:tc>
        <w:tc>
          <w:tcPr>
            <w:tcW w:w="3640" w:type="dxa"/>
            <w:vAlign w:val="bottom"/>
            <w:gridSpan w:val="7"/>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r>
      <w:tr>
        <w:trPr>
          <w:trHeight w:val="23"/>
        </w:trPr>
        <w:tc>
          <w:tcPr>
            <w:tcW w:w="2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2940" w:type="dxa"/>
            <w:vAlign w:val="bottom"/>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196"/>
        </w:trPr>
        <w:tc>
          <w:tcPr>
            <w:tcW w:w="29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196"/>
        </w:trPr>
        <w:tc>
          <w:tcPr>
            <w:tcW w:w="2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 recognition</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2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net periodic benefit cost are included in “Other income, net” in the statement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7—INCOME TAXES</w:t>
      </w:r>
    </w:p>
    <w:p>
      <w:pPr>
        <w:spacing w:after="0" w:line="22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At the end of each interim period, the Company estimates the annual effective income tax rate and applies that rate to its ordinary year-to-date earnings or loss. The income tax provision or benefit related to significant, unusual or extraordinary items, if applicable, that will be separately reported or reported net of their related tax effects are individually computed and recognized in the interim period in which they occur. In addition, the effect of changes in enacted tax laws or rates, tax status, judgment on the realizability of a beginning-of-the-year deferred income tax asset in future years or unrecognized tax benefits is recognized in the interim period in which the change occurs.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computation of the estimated annual effective income tax rate at each interim period requires certain estimates and assumptions including, but not limited to, the expected pre-tax income (or loss) for the year, projections of the proportion of income (and/or loss) earned and taxed in foreign jurisdictions, permanent and temporary differences and the likelihood of the realization of deferred income tax assets generated in the current year. The accounting estimates used to compute the provision or benefit for income taxes may change as new events occur, more experience is acquired, additional information is obtained or the Company’s income tax environment changes. To the extent that the estimated annual effective income tax rate changes during a quarter, the effect of the change on prior quarters is included in income tax provision or benefit in the quarter in which the change occurs.</w:t>
      </w:r>
    </w:p>
    <w:p>
      <w:pPr>
        <w:spacing w:after="0" w:line="18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an income tax benefit of $15.6 million, which represents an effective income tax rate of 87%, which was higher than the statutory rate of 21% due primarily to state taxes, including an adjustment to deferred state income taxes resulting from the sale of Care.com, and non-deductible compensation expense, partially offset by research credits. For the three months ended March 31, 2025, the Company recorded an income tax benefit of $62.5 million, which represents an effective income tax rate of 19%, which was lower than the statutory rate of 21% due primarily to non-deductible compensation expense, partially offset by research credits and non-taxable stock-based compensation expense, which was reversed due to the forfeiture of our former CEO’s restricted stock award pursuant to the Employment Transition Agreement.</w:t>
      </w:r>
    </w:p>
    <w:p>
      <w:pPr>
        <w:spacing w:after="0" w:line="187" w:lineRule="exact"/>
        <w:rPr>
          <w:sz w:val="20"/>
          <w:szCs w:val="20"/>
          <w:color w:val="auto"/>
        </w:rPr>
      </w:pPr>
    </w:p>
    <w:p>
      <w:pPr>
        <w:ind w:right="280" w:firstLine="405"/>
        <w:spacing w:after="0" w:line="256" w:lineRule="auto"/>
        <w:rPr>
          <w:sz w:val="20"/>
          <w:szCs w:val="20"/>
          <w:color w:val="auto"/>
        </w:rPr>
      </w:pPr>
      <w:r>
        <w:rPr>
          <w:rFonts w:ascii="Times New Roman" w:cs="Times New Roman" w:eastAsia="Times New Roman" w:hAnsi="Times New Roman"/>
          <w:sz w:val="18"/>
          <w:szCs w:val="18"/>
          <w:color w:val="auto"/>
        </w:rPr>
        <w:t>As a result of the Distribution, the Company has allocated to Angi a portion of the tax attributes related to the consolidated federal and state tax filings pursuant to the Internal Revenue Code and applicable state law. This allocation requires that the Company’s net deferred income tax liability be adjusted in the year of the Distribution with a corresponding adjustment to additional paid-in capital. The allocation of attributes that was recorded as of December 31, 2025 was preliminary. A subsequent adjustment is expected to be made in the fourth quarter of 2026 following the filing of income tax returns for the year ended December 31, 2025. Further amendments could be required based upon amendments to the Company’s taxable income for periods prior to the Distribution and potential tax audits in the future.</w:t>
      </w:r>
    </w:p>
    <w:p>
      <w:pPr>
        <w:spacing w:after="0" w:line="187"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Company is routinely under audit by federal, state, local and foreign authorities in the area of income tax. These audits include questioning the timing and the amount of income and deductions and the allocation of income and deductions among various tax jurisdictions. The IRS is currently auditing the Company’s federal income tax return for the year ended December 31, 2023. Returns filed in various other jurisdictions are open to examination for tax years beginning with 2015. Income taxes payable include unrecognized tax benefits considered sufficient to pay assessments that may result from the examination of prior year tax returns. The Company considers many factors when evaluating and estimating its tax positions and tax benefits, which may not accurately anticipate actual outcomes and, therefore, may require periodic adjustment. Although management currently believes changes in unrecognized tax benefits from period to period and differences between amounts paid, if any, upon resolution of issues raised in audits and amounts previously provided will not have a material impact on the liquidity, results of operations, or financial condition of the Company, these matters are subject to inherent uncertainties and management’s view of these matters may change in the future.</w:t>
      </w:r>
    </w:p>
    <w:p>
      <w:pPr>
        <w:spacing w:after="0" w:line="18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related to unrecognized tax benefits in the income tax provision. At March 31, 2026 and December 31, 2025, accruals for interest and penalties are not material.</w:t>
      </w:r>
    </w:p>
    <w:p>
      <w:pPr>
        <w:spacing w:after="0" w:line="162" w:lineRule="exact"/>
        <w:rPr>
          <w:sz w:val="20"/>
          <w:szCs w:val="20"/>
          <w:color w:val="auto"/>
        </w:rPr>
      </w:pPr>
    </w:p>
    <w:p>
      <w:pPr>
        <w:ind w:right="500" w:firstLine="405"/>
        <w:spacing w:after="0" w:line="261" w:lineRule="auto"/>
        <w:rPr>
          <w:sz w:val="20"/>
          <w:szCs w:val="20"/>
          <w:color w:val="auto"/>
        </w:rPr>
      </w:pPr>
      <w:r>
        <w:rPr>
          <w:rFonts w:ascii="Times New Roman" w:cs="Times New Roman" w:eastAsia="Times New Roman" w:hAnsi="Times New Roman"/>
          <w:sz w:val="18"/>
          <w:szCs w:val="18"/>
          <w:color w:val="auto"/>
        </w:rPr>
        <w:t>At March 31, 2026 and December 31, 2025, unrecognized tax benefits, including interest and penalties, were $12.9 million and $13.0 million, respectively. Unrecognized tax benefits, including interest and penalties, at March 31, 2026 decreased by $0.1 million due primarily to a settlement, partially offset by research credits. If unrecognized tax benefits at March 31, 2026 are subsequently recognized, $12.1 million, net of related deferred income tax assets and interest, would reduce income tax expense. The comparable amount at December 31, 2025 was also $12.1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8—LOSS PER SHARE</w:t>
      </w:r>
    </w:p>
    <w:p>
      <w:pPr>
        <w:spacing w:after="0" w:line="229"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Company treats its common stock and Class B common stock as one class of stock for net earnings (loss) per share (“EPS”) purposes as both classes of stock participate in earnings, dividends and other distributions on the same basis.</w:t>
      </w:r>
    </w:p>
    <w:p>
      <w:pPr>
        <w:spacing w:after="0" w:line="162"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Basic EPS is computed by dividing net earnings (loss) attributable to holders of IAC common stock and Class B common stock by the weighted-average number of shares of common stock and Class B common stock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Diluted EPS is computed by dividing net earnings (loss) attributable to holders of IAC common stock and Class B common stock by the weighted-average number of common stock and Class B common stock outstanding plus dilutive securities during the period.</w:t>
      </w:r>
    </w:p>
    <w:p>
      <w:pPr>
        <w:spacing w:after="0" w:line="16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numerator and denominator of basic and diluted EPS computations for the Company’s common stock and Class B common stock are calculated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(258,342)</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loss from continuing operations attributable to noncontrolling interests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attributable to IAC common stock and Class B common stock shareholders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(258,332)</w:t>
            </w:r>
          </w:p>
        </w:tc>
      </w:tr>
      <w:tr>
        <w:trPr>
          <w:trHeight w:val="257"/>
        </w:trPr>
        <w:tc>
          <w:tcPr>
            <w:tcW w:w="8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the sale of Care.com, net of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43,774</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attributable to noncontrolling interests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r>
      <w:tr>
        <w:trPr>
          <w:trHeight w:val="156"/>
        </w:trPr>
        <w:tc>
          <w:tcPr>
            <w:tcW w:w="82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earnings from discontinued operations attributable to IAC common stock and Class B common stock</w:t>
            </w: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24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41,527</w:t>
            </w:r>
          </w:p>
        </w:tc>
      </w:tr>
      <w:tr>
        <w:trPr>
          <w:trHeight w:val="237"/>
        </w:trPr>
        <w:tc>
          <w:tcPr>
            <w:tcW w:w="82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IAC common stock and Class B common stock shareholders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(71,882)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(216,805)</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IAC common stock and Class B common stock shares outstanding</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75"/>
        </w:trPr>
        <w:tc>
          <w:tcPr>
            <w:tcW w:w="8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per share from continuing operations attributable to IAC common stock and Class B common stock</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175"/>
        </w:trPr>
        <w:tc>
          <w:tcPr>
            <w:tcW w:w="8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earnings per share from discontinued operations, net of income taxes, attributable to IAC common stock</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Class B common stock shareholders</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 attributable to IAC common stock and Class B common stock shareholders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(258,342)</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loss from continuing operations attributable to noncontrolling interests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attributable to IAC common stock and Class B common stock shareholders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(258,332)</w:t>
            </w:r>
          </w:p>
        </w:tc>
      </w:tr>
      <w:tr>
        <w:trPr>
          <w:trHeight w:val="250"/>
        </w:trPr>
        <w:tc>
          <w:tcPr>
            <w:tcW w:w="8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the sale of Care.com, net of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43,774</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attributable to noncontrolling interests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r>
      <w:tr>
        <w:trPr>
          <w:trHeight w:val="156"/>
        </w:trPr>
        <w:tc>
          <w:tcPr>
            <w:tcW w:w="82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earnings from discontinued operations attributable to IAC common stock and Class B common stock</w:t>
            </w: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24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41,527</w:t>
            </w:r>
          </w:p>
        </w:tc>
      </w:tr>
      <w:tr>
        <w:trPr>
          <w:trHeight w:val="237"/>
        </w:trPr>
        <w:tc>
          <w:tcPr>
            <w:tcW w:w="82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IAC common stock and Class B common stock shareholders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(71,882)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(216,805)</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IAC common stock and Class B common stock shares outstanding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82,214</w:t>
            </w:r>
          </w:p>
        </w:tc>
      </w:tr>
      <w:tr>
        <w:trPr>
          <w:trHeight w:val="229"/>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Dilutive securities</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8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Denominator for earnings per share—weighted average shares</w:t>
            </w:r>
            <w:r>
              <w:rPr>
                <w:rFonts w:ascii="Times New Roman" w:cs="Times New Roman" w:eastAsia="Times New Roman" w:hAnsi="Times New Roman"/>
                <w:sz w:val="23"/>
                <w:szCs w:val="23"/>
                <w:color w:val="auto"/>
                <w:vertAlign w:val="superscript"/>
              </w:rPr>
              <w:t>(a)</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75"/>
        </w:trPr>
        <w:tc>
          <w:tcPr>
            <w:tcW w:w="8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per share from continuing operations attributable to IAC common stock and Class B common stock</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176"/>
        </w:trPr>
        <w:tc>
          <w:tcPr>
            <w:tcW w:w="8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earnings per share from discontinued operations, net of income taxes, attributable to IAC common stock</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Class B common stock shareholders</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 attributable to IAC common stock and Class B common stock shareholders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1" w:lineRule="exact"/>
        <w:rPr>
          <w:sz w:val="20"/>
          <w:szCs w:val="20"/>
          <w:color w:val="auto"/>
        </w:rPr>
      </w:pPr>
    </w:p>
    <w:p>
      <w:pPr>
        <w:ind w:left="660" w:right="60" w:hanging="328"/>
        <w:spacing w:after="0" w:line="233" w:lineRule="auto"/>
        <w:tabs>
          <w:tab w:leader="none" w:pos="533"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2026 and 2025, the Company had losses from continuing operations and, as a result, approximately 3.3 million and 4.3 million of potentially dilutive securities, respectively, were excluded from computing diluted EPS for the periods because the impact would have been anti-dilutive. Accordingly, the weighted average basic shares outstanding were used to compute the diluted EPS amounts.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9—FINANCIAL STATEMENT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to the total amounts shown in the statement of 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941,311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1,363,547</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2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cash equivalents, and restricted cash included in</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24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436,402</w:t>
            </w:r>
          </w:p>
        </w:tc>
      </w:tr>
      <w:tr>
        <w:trPr>
          <w:trHeight w:val="176"/>
        </w:trPr>
        <w:tc>
          <w:tcPr>
            <w:tcW w:w="4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cash included in other non-current assets of</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5"/>
        </w:trPr>
        <w:tc>
          <w:tcPr>
            <w:tcW w:w="43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cash and cash equivalents and restricted cash as</w:t>
            </w: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shown on the statement of cash flows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1,120,240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986,831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1,168,339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1,807,255</w:t>
            </w:r>
          </w:p>
        </w:tc>
      </w:tr>
      <w:tr>
        <w:trPr>
          <w:trHeight w:val="21"/>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Restricted cash in all periods presented principally consists of cash held in escrow related to the funded pension plan in the United Kingdom at People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cash and cash equivalents by geographic location: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People Inc. cash and cash equivalents:</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261,904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222,525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230,436</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 countries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19,491</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People Inc. cash and cash equivalents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284,318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242,603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249,927</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IAC (excluding People Inc.) cash and cash equivalents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884,524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1,086,888</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countries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15,957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26,732</w:t>
            </w:r>
          </w:p>
        </w:tc>
        <w:tc>
          <w:tcPr>
            <w:tcW w:w="0" w:type="dxa"/>
            <w:vAlign w:val="bottom"/>
          </w:tcPr>
          <w:p>
            <w:pPr>
              <w:spacing w:after="0"/>
              <w:rPr>
                <w:sz w:val="1"/>
                <w:szCs w:val="1"/>
                <w:color w:val="auto"/>
              </w:rPr>
            </w:pPr>
          </w:p>
        </w:tc>
      </w:tr>
      <w:tr>
        <w:trPr>
          <w:trHeight w:val="164"/>
        </w:trPr>
        <w:tc>
          <w:tcPr>
            <w:tcW w:w="4360" w:type="dxa"/>
            <w:vAlign w:val="bottom"/>
            <w:shd w:val="clear" w:color="auto" w:fill="CCEEFF"/>
          </w:tcPr>
          <w:p>
            <w:pPr>
              <w:ind w:left="240"/>
              <w:spacing w:after="0" w:line="164" w:lineRule="exact"/>
              <w:rPr>
                <w:sz w:val="20"/>
                <w:szCs w:val="20"/>
                <w:color w:val="auto"/>
              </w:rPr>
            </w:pPr>
            <w:r>
              <w:rPr>
                <w:rFonts w:ascii="Times New Roman" w:cs="Times New Roman" w:eastAsia="Times New Roman" w:hAnsi="Times New Roman"/>
                <w:sz w:val="18"/>
                <w:szCs w:val="18"/>
                <w:color w:val="auto"/>
              </w:rPr>
              <w:t>Total IAC (excluding People Inc.) cash and cash</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equivalents</w:t>
            </w: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796,656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656,993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900,481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1,113,620</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1,363,547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changes in the allowance for credit losses: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6"/>
          </w:tcPr>
          <w:p>
            <w:pPr>
              <w:jc w:val="center"/>
              <w:ind w:right="5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5"/>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for credit losses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collected</w:t>
            </w:r>
          </w:p>
        </w:tc>
        <w:tc>
          <w:tcPr>
            <w:tcW w:w="2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Depreciation and Amortization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the accumulated depreciation and amortization within the balance sheet: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280" w:type="dxa"/>
            <w:vAlign w:val="bottom"/>
          </w:tcPr>
          <w:p>
            <w:pPr>
              <w:spacing w:after="0"/>
              <w:rPr>
                <w:sz w:val="13"/>
                <w:szCs w:val="13"/>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13"/>
                <w:szCs w:val="13"/>
                <w:color w:val="auto"/>
              </w:rPr>
            </w:pPr>
          </w:p>
        </w:tc>
        <w:tc>
          <w:tcPr>
            <w:tcW w:w="16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4"/>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6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gridSpan w:val="3"/>
          </w:tcPr>
          <w:p>
            <w:pPr>
              <w:jc w:val="right"/>
              <w:ind w:right="139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20" w:type="dxa"/>
            <w:vAlign w:val="bottom"/>
            <w:shd w:val="clear" w:color="auto" w:fill="CCEEFF"/>
          </w:tcPr>
          <w:p>
            <w:pPr>
              <w:spacing w:after="0"/>
              <w:rPr>
                <w:sz w:val="20"/>
                <w:szCs w:val="20"/>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equipment, leasehold improvements and capitalized software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196,188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191,044</w:t>
            </w:r>
          </w:p>
        </w:tc>
      </w:tr>
      <w:tr>
        <w:trPr>
          <w:trHeight w:val="234"/>
        </w:trPr>
        <w:tc>
          <w:tcPr>
            <w:tcW w:w="2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648,734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8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14,357</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an unutilized domain name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downward adjustments to the carrying value of equity securities without readily determinable fair values and net</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0" w:type="dxa"/>
            <w:vAlign w:val="bottom"/>
          </w:tcPr>
          <w:p>
            <w:pPr>
              <w:spacing w:after="0"/>
              <w:rPr>
                <w:sz w:val="1"/>
                <w:szCs w:val="1"/>
                <w:color w:val="auto"/>
              </w:rPr>
            </w:pPr>
          </w:p>
        </w:tc>
      </w:tr>
      <w:tr>
        <w:trPr>
          <w:trHeight w:val="148"/>
        </w:trPr>
        <w:tc>
          <w:tcPr>
            <w:tcW w:w="8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sales of investments and businesses</w:t>
            </w:r>
          </w:p>
        </w:tc>
        <w:tc>
          <w:tcPr>
            <w:tcW w:w="20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864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10—CONTINGENCIES</w:t>
      </w:r>
    </w:p>
    <w:p>
      <w:pPr>
        <w:spacing w:after="0" w:line="229" w:lineRule="exact"/>
        <w:rPr>
          <w:sz w:val="20"/>
          <w:szCs w:val="20"/>
          <w:color w:val="auto"/>
        </w:rPr>
      </w:pPr>
    </w:p>
    <w:p>
      <w:pPr>
        <w:ind w:right="160" w:firstLine="405"/>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lawsuits and other contingent matters. The Company establishes accruals for specific legal and other matters when it determines that the likelihood of an unfavorable outcome is probable and the loss is reasonably estimable. Management has also identified certain legal and other matters where it believes an unfavorable outcome is not probable and, therefore, no accrual is established. Although management currently believes that resolving claims against the Company, including claims where an unfavorable outcome is reasonably possible, and for which the Company cannot estimate a loss or range of loss, will not have a material impact on the liquidity, results of operations or financial condition of the Company, these matters are subject to inherent uncertainties and management’s view of these matters may change in the future. The Company also evaluates other contingent matters, including unrecognized tax benefits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and/or financial condition of the Company. See “</w:t>
      </w:r>
      <w:r>
        <w:rPr>
          <w:rFonts w:ascii="Times New Roman" w:cs="Times New Roman" w:eastAsia="Times New Roman" w:hAnsi="Times New Roman"/>
          <w:sz w:val="18"/>
          <w:szCs w:val="18"/>
          <w:u w:val="single" w:color="auto"/>
          <w:color w:val="0000FF"/>
        </w:rPr>
        <w:t>Note 7—Income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Taxes</w:t>
      </w:r>
      <w:r>
        <w:rPr>
          <w:rFonts w:ascii="Times New Roman" w:cs="Times New Roman" w:eastAsia="Times New Roman" w:hAnsi="Times New Roman"/>
          <w:sz w:val="18"/>
          <w:szCs w:val="18"/>
          <w:color w:val="000000"/>
        </w:rPr>
        <w:t>” for information related to unrecognized tax benefits.</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People Inc. Ad-Tech Antitrust Litigation against Google</w:t>
      </w:r>
    </w:p>
    <w:p>
      <w:pPr>
        <w:spacing w:after="0" w:line="216" w:lineRule="exact"/>
        <w:rPr>
          <w:sz w:val="20"/>
          <w:szCs w:val="20"/>
          <w:color w:val="auto"/>
        </w:rPr>
      </w:pPr>
    </w:p>
    <w:p>
      <w:pPr>
        <w:ind w:firstLine="405"/>
        <w:spacing w:after="0" w:line="237" w:lineRule="auto"/>
        <w:rPr>
          <w:sz w:val="20"/>
          <w:szCs w:val="20"/>
          <w:color w:val="auto"/>
        </w:rPr>
      </w:pPr>
      <w:r>
        <w:rPr>
          <w:rFonts w:ascii="Times New Roman" w:cs="Times New Roman" w:eastAsia="Times New Roman" w:hAnsi="Times New Roman"/>
          <w:sz w:val="18"/>
          <w:szCs w:val="18"/>
          <w:color w:val="auto"/>
        </w:rPr>
        <w:t>On August 29, 2025, the Company’s People Inc. subsidiary filed an action against Google LLC and Alphabet Inc. (collectively, “Google”), alleging violations of federal antitrust and state law arising out of anticompetitive practices by Google in the ad-tech industry in connection with the sale of ad inventory for display on People Inc.’s online properties. The lawsuit follows on the Government’s antitrust enforcement action against Google, in which a federal district judge has ruled that Google acquired, maintained, and misused monopoly power in the publisher ad-server and ad-exchange markets, and tied use of its publisher ad-server to use of its ad exchange, in violation of the Sherman Act. People Inc.’s complaint asserts federal antitrust claims for monopolization and attempted monopolization of the publisher ad-server and ad-exchange markets and for unlawful tying in violation of the Sherman Act, as well as various state-law claims, and seeks among other things injunctive relief and damages, including treble damages, in an amount to be determined at trial.</w:t>
      </w:r>
    </w:p>
    <w:p>
      <w:pPr>
        <w:spacing w:after="0" w:line="187" w:lineRule="exact"/>
        <w:rPr>
          <w:sz w:val="20"/>
          <w:szCs w:val="20"/>
          <w:color w:val="auto"/>
        </w:rPr>
      </w:pPr>
    </w:p>
    <w:p>
      <w:pPr>
        <w:ind w:right="80" w:firstLine="405"/>
        <w:spacing w:after="0" w:line="242" w:lineRule="auto"/>
        <w:rPr>
          <w:sz w:val="20"/>
          <w:szCs w:val="20"/>
          <w:color w:val="auto"/>
        </w:rPr>
      </w:pPr>
      <w:r>
        <w:rPr>
          <w:rFonts w:ascii="Times New Roman" w:cs="Times New Roman" w:eastAsia="Times New Roman" w:hAnsi="Times New Roman"/>
          <w:sz w:val="18"/>
          <w:szCs w:val="18"/>
          <w:color w:val="auto"/>
        </w:rPr>
        <w:t>People Inc.’s lawsuit is part of a consolidated multidistrict litigation comprised of similar lawsuits filed by other online publishers, all pending before the same judge in the Southern District of New York. On October 27, 2025, in a ruling in one of the earlier-filed publisher lawsuits, the presiding judge held that Google is precluded from relitigating certain issues decided against it in the Government’s case, including that Google engaged in five separate types of anticompetitive conduct in willfully acquiring and maintaining monopoly power in the publisher ad-server and ad-exchange markets and that Google unlawfully tied its publisher ad server to its ad exchange in violation of the Sherman Act.</w:t>
      </w:r>
    </w:p>
    <w:p>
      <w:pPr>
        <w:spacing w:after="0" w:line="185" w:lineRule="exact"/>
        <w:rPr>
          <w:sz w:val="20"/>
          <w:szCs w:val="20"/>
          <w:color w:val="auto"/>
        </w:rPr>
      </w:pPr>
    </w:p>
    <w:p>
      <w:pPr>
        <w:ind w:right="180" w:firstLine="405"/>
        <w:spacing w:after="0" w:line="250" w:lineRule="auto"/>
        <w:rPr>
          <w:sz w:val="20"/>
          <w:szCs w:val="20"/>
          <w:color w:val="auto"/>
        </w:rPr>
      </w:pPr>
      <w:r>
        <w:rPr>
          <w:rFonts w:ascii="Times New Roman" w:cs="Times New Roman" w:eastAsia="Times New Roman" w:hAnsi="Times New Roman"/>
          <w:sz w:val="18"/>
          <w:szCs w:val="18"/>
          <w:color w:val="auto"/>
        </w:rPr>
        <w:t>People Inc.’s case is currently in discovery. People Inc. intends to vigorously pursue its claims in this action, but there is no guarantee that its efforts will be successful.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Disputed Gain on Real Estate Transaction</w:t>
      </w:r>
    </w:p>
    <w:p>
      <w:pPr>
        <w:spacing w:after="0" w:line="22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On October 24, 2025, the Company received an adverse jury verdict in a lawsuit related to the allocation of a gain recorded in 2015 related to a real estate transaction. The original gain was $34.3 million and was initially recorded as a non-operating gain in “Other income, net” in the year ended December 31, 2015. The proceeds have been and continue to be held in escrow since the transaction occurred in 2015. The total amount held in escrow at March 31, 2026 and December 31, 2025 was $38.7 million and $38.3 million, respectively. The Company recorded a net non-operating loss of</w:t>
      </w:r>
    </w:p>
    <w:p>
      <w:pPr>
        <w:spacing w:after="0" w:line="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$19.2 million in “Other income, net” in the statement of operations in the latter half of 2025 following this verdict and the subsequent court ruling that plaintiffs were not entitled to statutory prejudgment interest. The amounts held in escrow, net of the portion allocable to the plaintiffs, at March 31, 2026 and December 31, 2025 of $19.2 million and $19.0 million, respectively, are included in “Other current assets” in the balance sheet. The Company’s motion before the trial court to set aside the jury’s verdict remains pending.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IAC and Expedia Group</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At March 31, 2026, the Company and Expedia Group each have a 50% ownership interest in two aircraft that may be used by both companies. Members of the aircraft flight crews are employed by an entity in which the Company and Expedia Group each have a 50% ownership interest. Historically, the Company and Expedia Group allocated fixed costs, including flight crew compensation and benefits, 50% to each company and shared variable costs pro-rata according to each company’s respective usage of the aircraft, for which they were separately billed by the entity described above. In December of 2025, the Company and Expedia Group amended their cost sharing arrangement to reflect the allocation of all costs on a pro-rata basis according to each company’s respective usage of the aircraft, with the exception of costs related to flights taken by Mr. Diller, of which each of the Company and Expedia Group continue to be responsible for 50%. The Company and Expedia Group are related parties because Mr. Diller serves as Chairman and Senior Executive of both IAC and Expedia Group. For both the three months ended March 31, 2026 and 2025, the payments made to this entity by the Company were not material.</w:t>
      </w:r>
    </w:p>
    <w:p>
      <w:pPr>
        <w:spacing w:after="0" w:line="188"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Expedia Group has had the use of an aircraft owned 100% by a subsidiary of the Company on a cost basis until the sale of such aircraft during the fourth quarter of 2025. For the three months ended March 31, 2025, the payments made by Expedia Group to the Company pursuant to this arrangement were not material.</w:t>
      </w:r>
    </w:p>
    <w:p>
      <w:pPr>
        <w:spacing w:after="0" w:line="176" w:lineRule="exact"/>
        <w:rPr>
          <w:sz w:val="20"/>
          <w:szCs w:val="20"/>
          <w:color w:val="auto"/>
        </w:rPr>
      </w:pPr>
    </w:p>
    <w:p>
      <w:pPr>
        <w:ind w:right="360" w:firstLine="405"/>
        <w:spacing w:after="0" w:line="312" w:lineRule="auto"/>
        <w:rPr>
          <w:sz w:val="20"/>
          <w:szCs w:val="20"/>
          <w:color w:val="auto"/>
        </w:rPr>
      </w:pPr>
      <w:r>
        <w:rPr>
          <w:rFonts w:ascii="Times New Roman" w:cs="Times New Roman" w:eastAsia="Times New Roman" w:hAnsi="Times New Roman"/>
          <w:sz w:val="17"/>
          <w:szCs w:val="17"/>
          <w:color w:val="auto"/>
        </w:rPr>
        <w:t>During the fourth quarter of 2025, the Company and Expedia Group entered into an arrangement to share security costs for Mr. Diller, with each company responsible for 50% of such costs. For the three months ended March 31, 2026, amounts pursuant to this arrangement were not material.</w:t>
      </w:r>
    </w:p>
    <w:p>
      <w:pPr>
        <w:spacing w:after="0" w:line="140"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Expedia Group occupies office space in the Company’s New York City headquarters building. The total payments pursuant to this lease agreement, which expires September 2029, are not material.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12—DISCONTINUED OPERATIONS</w:t>
      </w:r>
    </w:p>
    <w:p>
      <w:pPr>
        <w:spacing w:after="0" w:line="256"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IAC completed the sale of Care.com on March 16, 2026 and the Distribution of Angi on March 31, 2025. As a result of these transactions, Care.com and Angi are presented as discontinued operations within IAC’s consolidated financial statements for all periods prior to March 16, 2026 and March 31,</w:t>
      </w:r>
    </w:p>
    <w:p>
      <w:pPr>
        <w:spacing w:after="0"/>
        <w:rPr>
          <w:sz w:val="20"/>
          <w:szCs w:val="20"/>
          <w:color w:val="auto"/>
        </w:rPr>
      </w:pPr>
      <w:r>
        <w:rPr>
          <w:rFonts w:ascii="Times New Roman" w:cs="Times New Roman" w:eastAsia="Times New Roman" w:hAnsi="Times New Roman"/>
          <w:sz w:val="18"/>
          <w:szCs w:val="18"/>
          <w:color w:val="auto"/>
        </w:rPr>
        <w:t>2025, respectively. See “</w:t>
      </w:r>
      <w:r>
        <w:rPr>
          <w:rFonts w:ascii="Times New Roman" w:cs="Times New Roman" w:eastAsia="Times New Roman" w:hAnsi="Times New Roman"/>
          <w:sz w:val="18"/>
          <w:szCs w:val="18"/>
          <w:u w:val="single" w:color="auto"/>
          <w:color w:val="0000FF"/>
        </w:rPr>
        <w:t>Note 1—The Company and Summary of Significant Accounting Policies</w:t>
      </w:r>
      <w:r>
        <w:rPr>
          <w:rFonts w:ascii="Times New Roman" w:cs="Times New Roman" w:eastAsia="Times New Roman" w:hAnsi="Times New Roman"/>
          <w:sz w:val="18"/>
          <w:szCs w:val="18"/>
          <w:color w:val="auto"/>
        </w:rPr>
        <w:t>” for additional information.</w:t>
      </w:r>
    </w:p>
    <w:p>
      <w:pPr>
        <w:spacing w:after="0" w:line="193"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components of Care.com’s assets and liabilities reflected as discontinued operations in the balance sheet at December 31, 2025 consisted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9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9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w:t>
            </w: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32,197</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33,536</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 of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leasehold improvements and equipment,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283,445</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71,479</w:t>
            </w: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64,309</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assets of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426,959</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trade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31,289</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44,723</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76,647</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liabilities of discontinued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8,657</w:t>
            </w:r>
          </w:p>
        </w:tc>
      </w:tr>
      <w:tr>
        <w:trPr>
          <w:trHeight w:val="20"/>
        </w:trPr>
        <w:tc>
          <w:tcPr>
            <w:tcW w:w="9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ind w:right="20" w:firstLine="405"/>
        <w:spacing w:after="0" w:line="270" w:lineRule="auto"/>
        <w:rPr>
          <w:sz w:val="20"/>
          <w:szCs w:val="20"/>
          <w:color w:val="auto"/>
        </w:rPr>
      </w:pPr>
      <w:r>
        <w:rPr>
          <w:rFonts w:ascii="Times New Roman" w:cs="Times New Roman" w:eastAsia="Times New Roman" w:hAnsi="Times New Roman"/>
          <w:sz w:val="18"/>
          <w:szCs w:val="18"/>
          <w:color w:val="auto"/>
        </w:rPr>
        <w:t>The components of earnings from discontinued operations in the statement of operations for 2026 consisted of the following, principally related to the operations of Care.com prior to its sale on March 16, 2026:</w:t>
      </w:r>
    </w:p>
    <w:tbl>
      <w:tblPr>
        <w:tblLayout w:type="fixed"/>
        <w:tblInd w:w="0" w:type="dxa"/>
        <w:tblCellMar>
          <w:top w:w="0" w:type="dxa"/>
          <w:left w:w="0" w:type="dxa"/>
          <w:bottom w:w="0" w:type="dxa"/>
          <w:right w:w="0" w:type="dxa"/>
        </w:tblCellMar>
      </w:tblPr>
      <w:tr>
        <w:trPr>
          <w:trHeight w:val="149"/>
        </w:trPr>
        <w:tc>
          <w:tcPr>
            <w:tcW w:w="9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9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95"/>
        </w:trPr>
        <w:tc>
          <w:tcPr>
            <w:tcW w:w="9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73,559</w:t>
            </w: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 (exclusive of depreciation shown separately below)</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r>
      <w:tr>
        <w:trPr>
          <w:trHeight w:val="229"/>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20,301</w:t>
            </w:r>
          </w:p>
        </w:tc>
      </w:tr>
      <w:tr>
        <w:trPr>
          <w:trHeight w:val="230"/>
        </w:trPr>
        <w:tc>
          <w:tcPr>
            <w:tcW w:w="94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General and administrative expense</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w:t>
            </w:r>
          </w:p>
        </w:tc>
      </w:tr>
      <w:tr>
        <w:trPr>
          <w:trHeight w:val="229"/>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r>
      <w:tr>
        <w:trPr>
          <w:trHeight w:val="229"/>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3"/>
        </w:trPr>
        <w:tc>
          <w:tcPr>
            <w:tcW w:w="9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60,111</w:t>
            </w: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from discontinued operations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w:t>
            </w: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before income taxes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13,124</w:t>
            </w: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w:t>
            </w:r>
          </w:p>
        </w:tc>
      </w:tr>
      <w:tr>
        <w:trPr>
          <w:trHeight w:val="20"/>
        </w:trPr>
        <w:tc>
          <w:tcPr>
            <w:tcW w:w="9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1" w:lineRule="exact"/>
        <w:rPr>
          <w:sz w:val="20"/>
          <w:szCs w:val="20"/>
          <w:color w:val="auto"/>
        </w:rPr>
      </w:pPr>
    </w:p>
    <w:p>
      <w:pPr>
        <w:ind w:left="660" w:right="160" w:hanging="328"/>
        <w:spacing w:after="0" w:line="221" w:lineRule="auto"/>
        <w:tabs>
          <w:tab w:leader="none" w:pos="583"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$1.5 million related to non-income taxes at Angi with a corresponding adjustment to additional paid-in-capital, following the repeal of Canada’s digital service tax in the first quarter of 2026.</w:t>
      </w:r>
    </w:p>
    <w:p>
      <w:pPr>
        <w:spacing w:after="0" w:line="2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earnings from discontinued operations in the statement of operations for 2025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Care.com</w:t>
            </w:r>
          </w:p>
        </w:tc>
        <w:tc>
          <w:tcPr>
            <w:tcW w:w="220" w:type="dxa"/>
            <w:vAlign w:val="bottom"/>
          </w:tcPr>
          <w:p>
            <w:pPr>
              <w:spacing w:after="0"/>
              <w:rPr>
                <w:sz w:val="11"/>
                <w:szCs w:val="11"/>
                <w:color w:val="auto"/>
              </w:rPr>
            </w:pPr>
          </w:p>
        </w:tc>
        <w:tc>
          <w:tcPr>
            <w:tcW w:w="13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Angi</w:t>
            </w:r>
          </w:p>
        </w:tc>
        <w:tc>
          <w:tcPr>
            <w:tcW w:w="1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140" w:type="dxa"/>
            <w:vAlign w:val="bottom"/>
          </w:tcPr>
          <w:p>
            <w:pPr>
              <w:spacing w:after="0"/>
              <w:rPr>
                <w:sz w:val="11"/>
                <w:szCs w:val="11"/>
                <w:color w:val="auto"/>
              </w:rPr>
            </w:pPr>
          </w:p>
        </w:tc>
        <w:tc>
          <w:tcPr>
            <w:tcW w:w="13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 IAC</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334,715</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 (exclusive of depreciation shown separately below)</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30,983</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142,086</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General and administrative expense</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76,310</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41,558</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302,705</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from discontinued operations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32,010</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before income taxes</w:t>
            </w: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31,850</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0" w:type="dxa"/>
            <w:vAlign w:val="bottom"/>
          </w:tcPr>
          <w:p>
            <w:pPr>
              <w:spacing w:after="0"/>
              <w:rPr>
                <w:sz w:val="1"/>
                <w:szCs w:val="1"/>
                <w:color w:val="auto"/>
              </w:rPr>
            </w:pP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income taxes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1" w:lineRule="exact"/>
        <w:rPr>
          <w:sz w:val="20"/>
          <w:szCs w:val="20"/>
          <w:color w:val="auto"/>
        </w:rPr>
      </w:pPr>
    </w:p>
    <w:p>
      <w:pPr>
        <w:ind w:left="660" w:right="220" w:hanging="328"/>
        <w:spacing w:after="0" w:line="221" w:lineRule="auto"/>
        <w:tabs>
          <w:tab w:leader="none" w:pos="586"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months ended March 31, 2025 include the reversal of $10.2 million in stock-based compensation expense that was previously recognized by Angi with respect to restricted shares.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13—PEOPLE INC. FINANCIAL INFORMATION</w:t>
      </w:r>
    </w:p>
    <w:p>
      <w:pPr>
        <w:spacing w:after="0" w:line="25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As mentioned above, Dotdash Meredith Inc. (referred to herein as People Inc.), the borrower under the Term Loans and 2032 Notes, is required to provide certain financial information. This requirement can be met by providing IAC financial statements presented as of and for the applicable periods then ended with a reconciliation to the consolidated balance sheet, statement of operations and comprehensive operations and statement of cash flows of People Inc. on a standalone basis and the consolidated statement of shareholder’s equity of People Inc. on a standalone basis. Presented below are the reconciliations of the Company’s (i) consolidated balance sheet as of March 31, 2026 and December 31, 2025, (ii) the related consolidated statement of operations and comprehensive operations and consolidated statement of cash flows for the three months ended March 31, 2026 and 2025 to the applicable financial information of People Inc. on a standalone basis by (1) excluding entities other than People Inc. and (2) including the applicable eliminations and reclassifications. Also presented are the consolidated statements of shareholder’s equity for People Inc.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BALANCE SHEET AT MARCH 31, 2026 AND DECEMBER 31, 2025 (Unaudited)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IAC Inc.</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entities</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IAC Inc.</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entities</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8"/>
        </w:trPr>
        <w:tc>
          <w:tcPr>
            <w:tcW w:w="2320" w:type="dxa"/>
            <w:vAlign w:val="bottom"/>
          </w:tcPr>
          <w:p>
            <w:pPr>
              <w:spacing w:after="0"/>
              <w:rPr>
                <w:sz w:val="17"/>
                <w:szCs w:val="17"/>
                <w:color w:val="auto"/>
              </w:rPr>
            </w:pPr>
          </w:p>
        </w:tc>
        <w:tc>
          <w:tcPr>
            <w:tcW w:w="10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10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2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1,112,445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(796,656)</w:t>
            </w:r>
          </w:p>
        </w:tc>
        <w:tc>
          <w:tcPr>
            <w:tcW w:w="80" w:type="dxa"/>
            <w:vAlign w:val="bottom"/>
          </w:tcPr>
          <w:p>
            <w:pPr>
              <w:spacing w:after="0"/>
              <w:rPr>
                <w:sz w:val="19"/>
                <w:szCs w:val="19"/>
                <w:color w:val="auto"/>
              </w:rPr>
            </w:pPr>
          </w:p>
        </w:tc>
        <w:tc>
          <w:tcPr>
            <w:tcW w:w="26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315,789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941,311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(656,993)</w:t>
            </w:r>
          </w:p>
        </w:tc>
        <w:tc>
          <w:tcPr>
            <w:tcW w:w="80" w:type="dxa"/>
            <w:vAlign w:val="bottom"/>
          </w:tcPr>
          <w:p>
            <w:pPr>
              <w:spacing w:after="0"/>
              <w:rPr>
                <w:sz w:val="19"/>
                <w:szCs w:val="19"/>
                <w:color w:val="auto"/>
              </w:rPr>
            </w:pPr>
          </w:p>
        </w:tc>
        <w:tc>
          <w:tcPr>
            <w:tcW w:w="26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284,318</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400,895</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54,180</w:t>
            </w: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Current assets of discontinued</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1,550,621</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(862,213)</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688,408</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1,544,749</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(805,356)</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739,393</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2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Buildings, land, equipment,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leasehold improvements and</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285,630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(178,033)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107,597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284,394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(179,882)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104,512</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1,505,497</w:t>
            </w:r>
          </w:p>
        </w:tc>
        <w:tc>
          <w:tcPr>
            <w:tcW w:w="0" w:type="dxa"/>
            <w:vAlign w:val="bottom"/>
          </w:tcPr>
          <w:p>
            <w:pPr>
              <w:spacing w:after="0"/>
              <w:rPr>
                <w:sz w:val="1"/>
                <w:szCs w:val="1"/>
                <w:color w:val="auto"/>
              </w:rPr>
            </w:pPr>
          </w:p>
        </w:tc>
      </w:tr>
      <w:tr>
        <w:trPr>
          <w:trHeight w:val="184"/>
        </w:trPr>
        <w:tc>
          <w:tcPr>
            <w:tcW w:w="2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Intangible assets, net of</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394,381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394,381</w:t>
            </w: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Investment in MGM Resorts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2,473,095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(2,473,095)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2,401,858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(2,401,858)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252,258</w:t>
            </w:r>
          </w:p>
        </w:tc>
        <w:tc>
          <w:tcPr>
            <w:tcW w:w="0" w:type="dxa"/>
            <w:vAlign w:val="bottom"/>
          </w:tcPr>
          <w:p>
            <w:pPr>
              <w:spacing w:after="0"/>
              <w:rPr>
                <w:sz w:val="1"/>
                <w:szCs w:val="1"/>
                <w:color w:val="auto"/>
              </w:rPr>
            </w:pPr>
          </w:p>
        </w:tc>
      </w:tr>
      <w:tr>
        <w:trPr>
          <w:trHeight w:val="184"/>
        </w:trPr>
        <w:tc>
          <w:tcPr>
            <w:tcW w:w="2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IAC Inc. investment in People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(1,646,956)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1,646,956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(1,655,926)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1,655,926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Non-current assets of</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426,959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(426,959)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6,820,217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(5,602,569)</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1,702,710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2,920,358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7,194,917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(5,952,138)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1,753,262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2,996,041</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LIABILITIES AND</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SHAREHOLDERS'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Current portion of long-term</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trade</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0" w:type="dxa"/>
            <w:vAlign w:val="bottom"/>
          </w:tcPr>
          <w:p>
            <w:pPr>
              <w:spacing w:after="0"/>
              <w:rPr>
                <w:sz w:val="1"/>
                <w:szCs w:val="1"/>
                <w:color w:val="auto"/>
              </w:rPr>
            </w:pPr>
          </w:p>
        </w:tc>
      </w:tr>
      <w:tr>
        <w:trPr>
          <w:trHeight w:val="900"/>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IAC Inc.</w:t>
            </w:r>
          </w:p>
        </w:tc>
        <w:tc>
          <w:tcPr>
            <w:tcW w:w="10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entities</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IAC Inc.</w:t>
            </w:r>
          </w:p>
        </w:tc>
        <w:tc>
          <w:tcPr>
            <w:tcW w:w="10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entities</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280" w:type="dxa"/>
            <w:vAlign w:val="bottom"/>
            <w:gridSpan w:val="3"/>
            <w:vMerge w:val="continue"/>
          </w:tcPr>
          <w:p>
            <w:pPr>
              <w:spacing w:after="0"/>
              <w:rPr>
                <w:sz w:val="12"/>
                <w:szCs w:val="12"/>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280" w:type="dxa"/>
            <w:vAlign w:val="bottom"/>
            <w:gridSpan w:val="3"/>
            <w:vMerge w:val="continue"/>
          </w:tcPr>
          <w:p>
            <w:pPr>
              <w:spacing w:after="0"/>
              <w:rPr>
                <w:sz w:val="12"/>
                <w:szCs w:val="12"/>
                <w:color w:val="auto"/>
              </w:rPr>
            </w:pPr>
          </w:p>
        </w:tc>
        <w:tc>
          <w:tcPr>
            <w:tcW w:w="9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8"/>
        </w:trPr>
        <w:tc>
          <w:tcPr>
            <w:tcW w:w="232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060" w:type="dxa"/>
            <w:vAlign w:val="bottom"/>
            <w:gridSpan w:val="2"/>
            <w:vMerge w:val="continue"/>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Accrued expenses and other</w:t>
            </w: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338,544</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23,671</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299,384</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403,810</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343,289</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Current liabilities of</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76,647</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419,782</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23,671</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372,295</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560,867</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413,077</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1,395,774</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1,395,774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1,401,324</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1,401,324</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192,966</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55,754</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208,624</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204,834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226,422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213,265</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Non-current liabilities of</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Intercompany due from People</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 to IAC Inc.</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(26,028)</w:t>
            </w: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Redeemable noncontrolling</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25,264</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Commitments and</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contingencies</w:t>
            </w: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SHAREHOLDERS'</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5,974,269</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(5,974,269)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1,561,633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1,561,633</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5,959,692</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(5,959,692)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1,570,603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1,570,603</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(714,882)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(600,128)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(587,788)</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Accumulated other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(14,054)</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(695,890)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(571,032)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4,549,452</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(5,251,310)</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1,649,313</w:t>
            </w: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947,455</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4,733,827</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(5,423,735)</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1,658,283</w:t>
            </w: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968,375</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32,997</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4,582,449</w:t>
            </w:r>
          </w:p>
        </w:tc>
        <w:tc>
          <w:tcPr>
            <w:tcW w:w="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(5,284,307)</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1,649,313</w:t>
            </w:r>
          </w:p>
        </w:tc>
        <w:tc>
          <w:tcPr>
            <w:tcW w:w="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947,455</w:t>
            </w:r>
          </w:p>
        </w:tc>
        <w:tc>
          <w:tcPr>
            <w:tcW w:w="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4,763,759</w:t>
            </w:r>
          </w:p>
        </w:tc>
        <w:tc>
          <w:tcPr>
            <w:tcW w:w="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(5,453,667)</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1,658,283</w:t>
            </w:r>
          </w:p>
        </w:tc>
        <w:tc>
          <w:tcPr>
            <w:tcW w:w="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968,375</w:t>
            </w:r>
          </w:p>
        </w:tc>
        <w:tc>
          <w:tcPr>
            <w:tcW w:w="0" w:type="dxa"/>
            <w:vAlign w:val="bottom"/>
          </w:tcPr>
          <w:p>
            <w:pPr>
              <w:spacing w:after="0"/>
              <w:rPr>
                <w:sz w:val="1"/>
                <w:szCs w:val="1"/>
                <w:color w:val="auto"/>
              </w:rPr>
            </w:pPr>
          </w:p>
        </w:tc>
      </w:tr>
      <w:tr>
        <w:trPr>
          <w:trHeight w:val="155"/>
        </w:trPr>
        <w:tc>
          <w:tcPr>
            <w:tcW w:w="23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LIABILITIES AND</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SHAREHOLDERS'</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$ 6,820,217</w:t>
            </w:r>
          </w:p>
        </w:tc>
        <w:tc>
          <w:tcPr>
            <w:tcW w:w="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(5,602,569)</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1,702,710</w:t>
            </w:r>
          </w:p>
        </w:tc>
        <w:tc>
          <w:tcPr>
            <w:tcW w:w="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$ 2,920,358</w:t>
            </w:r>
          </w:p>
        </w:tc>
        <w:tc>
          <w:tcPr>
            <w:tcW w:w="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$ 7,194,917</w:t>
            </w:r>
          </w:p>
        </w:tc>
        <w:tc>
          <w:tcPr>
            <w:tcW w:w="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(5,952,138)</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1,753,262</w:t>
            </w:r>
          </w:p>
        </w:tc>
        <w:tc>
          <w:tcPr>
            <w:tcW w:w="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$ 2,996,041</w:t>
            </w:r>
          </w:p>
        </w:tc>
        <w:tc>
          <w:tcPr>
            <w:tcW w:w="0" w:type="dxa"/>
            <w:vAlign w:val="bottom"/>
          </w:tcPr>
          <w:p>
            <w:pPr>
              <w:spacing w:after="0"/>
              <w:rPr>
                <w:sz w:val="1"/>
                <w:szCs w:val="1"/>
                <w:color w:val="auto"/>
              </w:rPr>
            </w:pPr>
          </w:p>
        </w:tc>
      </w:tr>
      <w:tr>
        <w:trPr>
          <w:trHeight w:val="231"/>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5"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6"/>
          <w:szCs w:val="16"/>
          <w:b w:val="1"/>
          <w:bCs w:val="1"/>
          <w:color w:val="auto"/>
        </w:rPr>
        <w:t>CONSOLIDATED STATEMENT OF OPERATIONS AND COMPREHENSIVE OPERATIONS FOR THE THREE MONTHS ENDED MARCH 31, 2026 AND 2025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jc w:val="center"/>
              <w:ind w:left="5"/>
              <w:spacing w:after="0" w:line="129"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entities</w:t>
            </w: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entities</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IAC Inc.</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0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Eliminations and</w:t>
            </w: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IAC Inc.</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0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Eliminations and</w:t>
            </w:r>
          </w:p>
        </w:tc>
        <w:tc>
          <w:tcPr>
            <w:tcW w:w="100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080" w:type="dxa"/>
            <w:vAlign w:val="bottom"/>
            <w:tcBorders>
              <w:bottom w:val="single" w:sz="8" w:color="auto"/>
            </w:tcBorders>
            <w:gridSpan w:val="2"/>
            <w:vMerge w:val="continue"/>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60" w:type="dxa"/>
            <w:vAlign w:val="bottom"/>
            <w:gridSpan w:val="3"/>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422,893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(37,174)</w:t>
            </w:r>
          </w:p>
        </w:tc>
        <w:tc>
          <w:tcPr>
            <w:tcW w:w="58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  385,729</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481,686</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(88,616)</w:t>
            </w:r>
          </w:p>
        </w:tc>
        <w:tc>
          <w:tcPr>
            <w:tcW w:w="62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393,071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tbl>
      <w:tblPr>
        <w:tblLayout w:type="fixed"/>
        <w:tblInd w:w="20" w:type="dxa"/>
        <w:tblCellMar>
          <w:top w:w="0" w:type="dxa"/>
          <w:left w:w="0" w:type="dxa"/>
          <w:bottom w:w="0" w:type="dxa"/>
          <w:right w:w="0" w:type="dxa"/>
        </w:tblCellMar>
      </w:tblPr>
      <w:tr>
        <w:trPr>
          <w:trHeight w:val="225"/>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80"/>
        </w:trPr>
        <w:tc>
          <w:tcPr>
            <w:tcW w:w="23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Cost of revenue (exclusive of</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23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depreciation shown separately</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8"/>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below)</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159,773</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80" w:type="dxa"/>
            <w:vAlign w:val="bottom"/>
          </w:tcPr>
          <w:p>
            <w:pPr>
              <w:spacing w:after="0"/>
              <w:rPr>
                <w:sz w:val="20"/>
                <w:szCs w:val="20"/>
                <w:color w:val="auto"/>
              </w:rPr>
            </w:pP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37</w:t>
            </w:r>
          </w:p>
        </w:tc>
      </w:tr>
      <w:tr>
        <w:trPr>
          <w:trHeight w:val="229"/>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80" w:type="dxa"/>
            <w:vAlign w:val="bottom"/>
          </w:tcPr>
          <w:p>
            <w:pPr>
              <w:spacing w:after="0"/>
              <w:rPr>
                <w:sz w:val="19"/>
                <w:szCs w:val="19"/>
                <w:color w:val="auto"/>
              </w:rPr>
            </w:pP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180"/>
        </w:trPr>
        <w:tc>
          <w:tcPr>
            <w:tcW w:w="23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8"/>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104,107</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(48,662)</w:t>
            </w:r>
          </w:p>
        </w:tc>
        <w:tc>
          <w:tcPr>
            <w:tcW w:w="80" w:type="dxa"/>
            <w:vAlign w:val="bottom"/>
          </w:tcPr>
          <w:p>
            <w:pPr>
              <w:spacing w:after="0"/>
              <w:rPr>
                <w:sz w:val="20"/>
                <w:szCs w:val="20"/>
                <w:color w:val="auto"/>
              </w:rPr>
            </w:pP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(27)</w:t>
            </w:r>
          </w:p>
        </w:tc>
      </w:tr>
      <w:tr>
        <w:trPr>
          <w:trHeight w:val="229"/>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80" w:type="dxa"/>
            <w:vAlign w:val="bottom"/>
          </w:tcPr>
          <w:p>
            <w:pPr>
              <w:spacing w:after="0"/>
              <w:rPr>
                <w:sz w:val="19"/>
                <w:szCs w:val="19"/>
                <w:color w:val="auto"/>
              </w:rPr>
            </w:pP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80" w:type="dxa"/>
            <w:vAlign w:val="bottom"/>
          </w:tcPr>
          <w:p>
            <w:pPr>
              <w:spacing w:after="0"/>
              <w:rPr>
                <w:sz w:val="19"/>
                <w:szCs w:val="19"/>
                <w:color w:val="auto"/>
              </w:rPr>
            </w:pP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155"/>
        </w:trPr>
        <w:tc>
          <w:tcPr>
            <w:tcW w:w="236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Total operating costs and</w:t>
            </w: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r>
      <w:tr>
        <w:trPr>
          <w:trHeight w:val="243"/>
        </w:trPr>
        <w:tc>
          <w:tcPr>
            <w:tcW w:w="2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462,959</w:t>
            </w:r>
          </w:p>
        </w:tc>
        <w:tc>
          <w:tcPr>
            <w:tcW w:w="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(87,645)</w:t>
            </w:r>
          </w:p>
        </w:tc>
        <w:tc>
          <w:tcPr>
            <w:tcW w:w="80" w:type="dxa"/>
            <w:vAlign w:val="bottom"/>
          </w:tcPr>
          <w:p>
            <w:pPr>
              <w:spacing w:after="0"/>
              <w:rPr>
                <w:sz w:val="21"/>
                <w:szCs w:val="21"/>
                <w:color w:val="auto"/>
              </w:rPr>
            </w:pPr>
          </w:p>
        </w:tc>
        <w:tc>
          <w:tcPr>
            <w:tcW w:w="12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(40,066)</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50,471</w:t>
            </w:r>
          </w:p>
        </w:tc>
        <w:tc>
          <w:tcPr>
            <w:tcW w:w="80" w:type="dxa"/>
            <w:vAlign w:val="bottom"/>
          </w:tcPr>
          <w:p>
            <w:pPr>
              <w:spacing w:after="0"/>
              <w:rPr>
                <w:sz w:val="18"/>
                <w:szCs w:val="18"/>
                <w:color w:val="auto"/>
              </w:rPr>
            </w:pP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180"/>
        </w:trPr>
        <w:tc>
          <w:tcPr>
            <w:tcW w:w="2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Unrealized gain (loss) on</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3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investment in MGM Resorts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34,005</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(34,005)</w:t>
            </w:r>
          </w:p>
        </w:tc>
        <w:tc>
          <w:tcPr>
            <w:tcW w:w="80" w:type="dxa"/>
            <w:vAlign w:val="bottom"/>
          </w:tcPr>
          <w:p>
            <w:pPr>
              <w:spacing w:after="0"/>
              <w:rPr>
                <w:sz w:val="20"/>
                <w:szCs w:val="20"/>
                <w:color w:val="auto"/>
              </w:rPr>
            </w:pP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80" w:type="dxa"/>
            <w:vAlign w:val="bottom"/>
          </w:tcPr>
          <w:p>
            <w:pPr>
              <w:spacing w:after="0"/>
              <w:rPr>
                <w:sz w:val="20"/>
                <w:szCs w:val="20"/>
                <w:color w:val="auto"/>
              </w:rPr>
            </w:pPr>
          </w:p>
        </w:tc>
        <w:tc>
          <w:tcPr>
            <w:tcW w:w="12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155"/>
        </w:trPr>
        <w:tc>
          <w:tcPr>
            <w:tcW w:w="236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(Loss) earnings from</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5"/>
        </w:trPr>
        <w:tc>
          <w:tcPr>
            <w:tcW w:w="23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continuing operations before</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80" w:type="dxa"/>
            <w:vAlign w:val="bottom"/>
          </w:tcPr>
          <w:p>
            <w:pPr>
              <w:spacing w:after="0"/>
              <w:rPr>
                <w:sz w:val="20"/>
                <w:szCs w:val="20"/>
                <w:color w:val="auto"/>
              </w:rPr>
            </w:pP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15,578</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(15,579)</w:t>
            </w:r>
          </w:p>
        </w:tc>
        <w:tc>
          <w:tcPr>
            <w:tcW w:w="80" w:type="dxa"/>
            <w:vAlign w:val="bottom"/>
          </w:tcPr>
          <w:p>
            <w:pPr>
              <w:spacing w:after="0"/>
              <w:rPr>
                <w:sz w:val="20"/>
                <w:szCs w:val="20"/>
                <w:color w:val="auto"/>
              </w:rPr>
            </w:pPr>
          </w:p>
        </w:tc>
        <w:tc>
          <w:tcPr>
            <w:tcW w:w="12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155"/>
        </w:trPr>
        <w:tc>
          <w:tcPr>
            <w:tcW w:w="236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Net loss from continuing</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80" w:type="dxa"/>
            <w:vAlign w:val="bottom"/>
          </w:tcPr>
          <w:p>
            <w:pPr>
              <w:spacing w:after="0"/>
              <w:rPr>
                <w:sz w:val="20"/>
                <w:szCs w:val="20"/>
                <w:color w:val="auto"/>
              </w:rPr>
            </w:pP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180"/>
        </w:trPr>
        <w:tc>
          <w:tcPr>
            <w:tcW w:w="2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Loss on the sale of Care.com,</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net of income taxes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(75,643)</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75,643</w:t>
            </w:r>
          </w:p>
        </w:tc>
        <w:tc>
          <w:tcPr>
            <w:tcW w:w="80" w:type="dxa"/>
            <w:vAlign w:val="bottom"/>
          </w:tcPr>
          <w:p>
            <w:pPr>
              <w:spacing w:after="0"/>
              <w:rPr>
                <w:sz w:val="20"/>
                <w:szCs w:val="20"/>
                <w:color w:val="auto"/>
              </w:rPr>
            </w:pP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180"/>
        </w:trPr>
        <w:tc>
          <w:tcPr>
            <w:tcW w:w="2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Earnings from discontinued</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operations, net of income taxes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80" w:type="dxa"/>
            <w:vAlign w:val="bottom"/>
          </w:tcPr>
          <w:p>
            <w:pPr>
              <w:spacing w:after="0"/>
              <w:rPr>
                <w:sz w:val="21"/>
                <w:szCs w:val="21"/>
                <w:color w:val="auto"/>
              </w:rPr>
            </w:pPr>
          </w:p>
        </w:tc>
        <w:tc>
          <w:tcPr>
            <w:tcW w:w="12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21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earnings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(70,670)</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58,330</w:t>
            </w:r>
          </w:p>
        </w:tc>
        <w:tc>
          <w:tcPr>
            <w:tcW w:w="80" w:type="dxa"/>
            <w:vAlign w:val="bottom"/>
          </w:tcPr>
          <w:p>
            <w:pPr>
              <w:spacing w:after="0"/>
              <w:rPr>
                <w:sz w:val="18"/>
                <w:szCs w:val="18"/>
                <w:color w:val="auto"/>
              </w:rPr>
            </w:pP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180"/>
        </w:trPr>
        <w:tc>
          <w:tcPr>
            <w:tcW w:w="2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Net earnings attributable to</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80" w:type="dxa"/>
            <w:vAlign w:val="bottom"/>
          </w:tcPr>
          <w:p>
            <w:pPr>
              <w:spacing w:after="0"/>
              <w:rPr>
                <w:sz w:val="21"/>
                <w:szCs w:val="21"/>
                <w:color w:val="auto"/>
              </w:rPr>
            </w:pPr>
          </w:p>
        </w:tc>
        <w:tc>
          <w:tcPr>
            <w:tcW w:w="12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155"/>
        </w:trPr>
        <w:tc>
          <w:tcPr>
            <w:tcW w:w="236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Net (loss) earnings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attributable to shareholders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(71,882)</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59,542</w:t>
            </w:r>
          </w:p>
        </w:tc>
        <w:tc>
          <w:tcPr>
            <w:tcW w:w="80" w:type="dxa"/>
            <w:vAlign w:val="bottom"/>
          </w:tcPr>
          <w:p>
            <w:pPr>
              <w:spacing w:after="0"/>
              <w:rPr>
                <w:sz w:val="20"/>
                <w:szCs w:val="20"/>
                <w:color w:val="auto"/>
              </w:rPr>
            </w:pP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r>
        <w:trPr>
          <w:trHeight w:val="180"/>
        </w:trPr>
        <w:tc>
          <w:tcPr>
            <w:tcW w:w="2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income</w:t>
            </w:r>
            <w:r>
              <w:rPr>
                <w:rFonts w:ascii="Times New Roman" w:cs="Times New Roman" w:eastAsia="Times New Roman" w:hAnsi="Times New Roman"/>
                <w:sz w:val="23"/>
                <w:szCs w:val="23"/>
                <w:color w:val="auto"/>
                <w:vertAlign w:val="superscript"/>
              </w:rPr>
              <w:t>(a)</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tcPr>
          <w:p>
            <w:pPr>
              <w:spacing w:after="0"/>
              <w:rPr>
                <w:sz w:val="21"/>
                <w:szCs w:val="21"/>
                <w:color w:val="auto"/>
              </w:rPr>
            </w:pPr>
          </w:p>
        </w:tc>
        <w:tc>
          <w:tcPr>
            <w:tcW w:w="12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-4594225</wp:posOffset>
            </wp:positionV>
            <wp:extent cx="7132320" cy="377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-4070985</wp:posOffset>
            </wp:positionV>
            <wp:extent cx="713232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-3659505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-3368040</wp:posOffset>
            </wp:positionV>
            <wp:extent cx="7132320" cy="265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-2948305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-2425065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265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266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147,795</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187,315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152,891</w:t>
            </w:r>
          </w:p>
        </w:tc>
      </w:tr>
      <w:tr>
        <w:trPr>
          <w:trHeight w:val="23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116,168</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157,369</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(37,549)</w:t>
            </w:r>
          </w:p>
        </w:tc>
        <w:tc>
          <w:tcPr>
            <w:tcW w:w="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119,820</w:t>
            </w:r>
          </w:p>
        </w:tc>
      </w:tr>
      <w:tr>
        <w:trPr>
          <w:trHeight w:val="41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55,418</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43,477</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(27,510)</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w:t>
            </w:r>
          </w:p>
        </w:tc>
      </w:tr>
      <w:tr>
        <w:trPr>
          <w:trHeight w:val="229"/>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31,535</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29,607</w:t>
            </w:r>
          </w:p>
        </w:tc>
      </w:tr>
      <w:tr>
        <w:trPr>
          <w:trHeight w:val="229"/>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w:t>
            </w:r>
          </w:p>
        </w:tc>
      </w:tr>
      <w:tr>
        <w:trPr>
          <w:trHeight w:val="23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22,418</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22,418</w:t>
            </w:r>
          </w:p>
        </w:tc>
      </w:tr>
      <w:tr>
        <w:trPr>
          <w:trHeight w:val="398"/>
        </w:trPr>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375,324</w:t>
            </w:r>
          </w:p>
        </w:tc>
        <w:tc>
          <w:tcPr>
            <w:tcW w:w="80" w:type="dxa"/>
            <w:vAlign w:val="bottom"/>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457,562</w:t>
            </w:r>
          </w:p>
        </w:tc>
        <w:tc>
          <w:tcPr>
            <w:tcW w:w="8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(107,699)</w:t>
            </w:r>
          </w:p>
        </w:tc>
        <w:tc>
          <w:tcPr>
            <w:tcW w:w="8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349,864</w:t>
            </w:r>
          </w:p>
        </w:tc>
      </w:tr>
      <w:tr>
        <w:trPr>
          <w:trHeight w:val="218"/>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24,124</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19,083</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43,207</w:t>
            </w:r>
          </w:p>
        </w:tc>
      </w:tr>
      <w:tr>
        <w:trPr>
          <w:trHeight w:val="23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(28,314)</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(28,314)</w:t>
            </w:r>
          </w:p>
        </w:tc>
      </w:tr>
      <w:tr>
        <w:trPr>
          <w:trHeight w:val="589"/>
        </w:trPr>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(324,265)</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324,265</w:t>
            </w:r>
          </w:p>
        </w:tc>
        <w:tc>
          <w:tcPr>
            <w:tcW w:w="8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8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r>
      <w:tr>
        <w:trPr>
          <w:trHeight w:val="569"/>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(320,823)</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338,724</w:t>
            </w:r>
          </w:p>
        </w:tc>
        <w:tc>
          <w:tcPr>
            <w:tcW w:w="8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17,901</w:t>
            </w:r>
          </w:p>
        </w:tc>
      </w:tr>
      <w:tr>
        <w:trPr>
          <w:trHeight w:val="234"/>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62,481</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(71,140)</w:t>
            </w:r>
          </w:p>
        </w:tc>
        <w:tc>
          <w:tcPr>
            <w:tcW w:w="8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(8,659)</w:t>
            </w:r>
          </w:p>
        </w:tc>
      </w:tr>
      <w:tr>
        <w:trPr>
          <w:trHeight w:val="398"/>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(258,342)</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267,584</w:t>
            </w:r>
          </w:p>
        </w:tc>
        <w:tc>
          <w:tcPr>
            <w:tcW w:w="8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r>
      <w:tr>
        <w:trPr>
          <w:trHeight w:val="419"/>
        </w:trPr>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43,774</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(43,774)</w:t>
            </w:r>
          </w:p>
        </w:tc>
        <w:tc>
          <w:tcPr>
            <w:tcW w:w="8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(214,568)</w:t>
            </w: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223,810</w:t>
            </w:r>
          </w:p>
        </w:tc>
        <w:tc>
          <w:tcPr>
            <w:tcW w:w="8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w:t>
            </w:r>
          </w:p>
        </w:tc>
      </w:tr>
      <w:tr>
        <w:trPr>
          <w:trHeight w:val="414"/>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8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9"/>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(216,805)</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226,047</w:t>
            </w:r>
          </w:p>
        </w:tc>
        <w:tc>
          <w:tcPr>
            <w:tcW w:w="8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r>
      <w:tr>
        <w:trPr>
          <w:trHeight w:val="418"/>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8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r>
    </w:tbl>
    <w:p>
      <w:pPr>
        <w:spacing w:after="0" w:line="200" w:lineRule="exact"/>
        <w:rPr>
          <w:sz w:val="20"/>
          <w:szCs w:val="20"/>
          <w:color w:val="auto"/>
        </w:rPr>
      </w:pPr>
    </w:p>
    <w:p>
      <w:pPr>
        <w:sectPr>
          <w:pgSz w:w="11900" w:h="16838" w:orient="portrait"/>
          <w:cols w:equalWidth="0" w:num="2">
            <w:col w:w="5740" w:space="80"/>
            <w:col w:w="5420"/>
          </w:cols>
          <w:pgMar w:left="320" w:top="118"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6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IAC Inc.</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entities</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IAC Inc.</w:t>
            </w:r>
          </w:p>
        </w:tc>
        <w:tc>
          <w:tcPr>
            <w:tcW w:w="80" w:type="dxa"/>
            <w:vAlign w:val="bottom"/>
          </w:tcPr>
          <w:p>
            <w:pPr>
              <w:spacing w:after="0"/>
              <w:rPr>
                <w:sz w:val="12"/>
                <w:szCs w:val="12"/>
                <w:color w:val="auto"/>
              </w:rPr>
            </w:pPr>
          </w:p>
        </w:tc>
        <w:tc>
          <w:tcPr>
            <w:tcW w:w="10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entities</w:t>
            </w:r>
          </w:p>
        </w:tc>
        <w:tc>
          <w:tcPr>
            <w:tcW w:w="14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00" w:type="dxa"/>
            <w:vAlign w:val="bottom"/>
            <w:gridSpan w:val="3"/>
            <w:vMerge w:val="continue"/>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80" w:type="dxa"/>
            <w:vAlign w:val="bottom"/>
            <w:vMerge w:val="restart"/>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440" w:type="dxa"/>
            <w:vAlign w:val="bottom"/>
            <w:gridSpan w:val="4"/>
            <w:vMerge w:val="continue"/>
          </w:tcPr>
          <w:p>
            <w:pPr>
              <w:spacing w:after="0"/>
              <w:rPr>
                <w:sz w:val="12"/>
                <w:szCs w:val="12"/>
                <w:color w:val="auto"/>
              </w:rPr>
            </w:pPr>
          </w:p>
        </w:tc>
        <w:tc>
          <w:tcPr>
            <w:tcW w:w="8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People Inc.</w:t>
            </w:r>
          </w:p>
        </w:tc>
        <w:tc>
          <w:tcPr>
            <w:tcW w:w="0" w:type="dxa"/>
            <w:vAlign w:val="bottom"/>
          </w:tcPr>
          <w:p>
            <w:pPr>
              <w:spacing w:after="0"/>
              <w:rPr>
                <w:sz w:val="1"/>
                <w:szCs w:val="1"/>
                <w:color w:val="auto"/>
              </w:rPr>
            </w:pPr>
          </w:p>
        </w:tc>
      </w:tr>
      <w:tr>
        <w:trPr>
          <w:trHeight w:val="198"/>
        </w:trPr>
        <w:tc>
          <w:tcPr>
            <w:tcW w:w="24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100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62,144</w:t>
            </w:r>
          </w:p>
        </w:tc>
        <w:tc>
          <w:tcPr>
            <w:tcW w:w="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(11,950)</w:t>
            </w:r>
          </w:p>
        </w:tc>
        <w:tc>
          <w:tcPr>
            <w:tcW w:w="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(216,024)</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223,391</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0" w:type="dxa"/>
            <w:vAlign w:val="bottom"/>
          </w:tcPr>
          <w:p>
            <w:pPr>
              <w:spacing w:after="0"/>
              <w:rPr>
                <w:sz w:val="1"/>
                <w:szCs w:val="1"/>
                <w:color w:val="auto"/>
              </w:rPr>
            </w:pPr>
          </w:p>
        </w:tc>
      </w:tr>
      <w:tr>
        <w:trPr>
          <w:trHeight w:val="236"/>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attributable to shareholders   </w:t>
            </w:r>
            <w:r>
              <w:rPr>
                <w:rFonts w:ascii="Times New Roman" w:cs="Times New Roman" w:eastAsia="Times New Roman" w:hAnsi="Times New Roman"/>
                <w:sz w:val="18"/>
                <w:szCs w:val="18"/>
                <w:color w:val="auto"/>
              </w:rPr>
              <w:t>$   (74,094)</w:t>
            </w:r>
          </w:p>
        </w:tc>
        <w:tc>
          <w:tcPr>
            <w:tcW w:w="22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320" w:type="dxa"/>
            <w:vAlign w:val="bottom"/>
            <w:gridSpan w:val="3"/>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 by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176"/>
        </w:trPr>
        <w:tc>
          <w:tcPr>
            <w:tcW w:w="24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155"/>
        </w:trPr>
        <w:tc>
          <w:tcPr>
            <w:tcW w:w="24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stock-based compensation</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80" w:type="dxa"/>
            <w:vAlign w:val="bottom"/>
          </w:tcPr>
          <w:p>
            <w:pPr>
              <w:spacing w:after="0"/>
              <w:rPr>
                <w:sz w:val="13"/>
                <w:szCs w:val="13"/>
                <w:color w:val="auto"/>
              </w:rPr>
            </w:pPr>
          </w:p>
        </w:tc>
        <w:tc>
          <w:tcPr>
            <w:tcW w:w="5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8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8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26,883</w:t>
            </w:r>
          </w:p>
        </w:tc>
        <w:tc>
          <w:tcPr>
            <w:tcW w:w="80" w:type="dxa"/>
            <w:vAlign w:val="bottom"/>
          </w:tcPr>
          <w:p>
            <w:pPr>
              <w:spacing w:after="0"/>
              <w:rPr>
                <w:sz w:val="13"/>
                <w:szCs w:val="13"/>
                <w:color w:val="auto"/>
              </w:rPr>
            </w:pPr>
          </w:p>
        </w:tc>
        <w:tc>
          <w:tcPr>
            <w:tcW w:w="5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0" w:type="dxa"/>
            <w:vAlign w:val="bottom"/>
          </w:tcPr>
          <w:p>
            <w:pPr>
              <w:spacing w:after="0"/>
              <w:rPr>
                <w:sz w:val="1"/>
                <w:szCs w:val="1"/>
                <w:color w:val="auto"/>
              </w:rPr>
            </w:pPr>
          </w:p>
        </w:tc>
      </w:tr>
      <w:tr>
        <w:trPr>
          <w:trHeight w:val="216"/>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660" w:right="120" w:hanging="328"/>
        <w:spacing w:after="0" w:line="221" w:lineRule="auto"/>
        <w:tabs>
          <w:tab w:leader="none" w:pos="581"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months ended March 31, 2026 and 2025 for People Inc. include $1.1 million and $(1.8) million of change in net unrealized gains (losses) on interest rate swaps, respectively, and $(0.8) million and $(0.1) million of change in foreign currency translation adjustment, respectively.</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FOR THE THREE MONTHS ENDED MARCH 31, 2026 AND 2025 (Unaudited)</w:t>
      </w:r>
    </w:p>
    <w:p>
      <w:pPr>
        <w:spacing w:after="0" w:line="280" w:lineRule="exact"/>
        <w:rPr>
          <w:sz w:val="20"/>
          <w:szCs w:val="20"/>
          <w:color w:val="auto"/>
        </w:rPr>
      </w:pPr>
    </w:p>
    <w:tbl>
      <w:tblPr>
        <w:tblLayout w:type="fixed"/>
        <w:tblInd w:w="240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2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980" w:type="dxa"/>
            <w:vAlign w:val="bottom"/>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IAC Inc.</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entities</w:t>
            </w:r>
          </w:p>
        </w:tc>
        <w:tc>
          <w:tcPr>
            <w:tcW w:w="13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IAC Inc.</w:t>
            </w: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entities</w:t>
            </w:r>
          </w:p>
        </w:tc>
        <w:tc>
          <w:tcPr>
            <w:tcW w:w="13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40" w:type="dxa"/>
            <w:vAlign w:val="bottom"/>
            <w:vMerge w:val="continue"/>
          </w:tcPr>
          <w:p>
            <w:pPr>
              <w:spacing w:after="0"/>
              <w:rPr>
                <w:sz w:val="12"/>
                <w:szCs w:val="12"/>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98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40" w:type="dxa"/>
            <w:vAlign w:val="bottom"/>
            <w:vMerge w:val="continue"/>
          </w:tcPr>
          <w:p>
            <w:pPr>
              <w:spacing w:after="0"/>
              <w:rPr>
                <w:sz w:val="12"/>
                <w:szCs w:val="12"/>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3"/>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3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02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3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6350</wp:posOffset>
            </wp:positionV>
            <wp:extent cx="56146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14670" cy="8890"/>
                    </a:xfrm>
                    <a:prstGeom prst="rect">
                      <a:avLst/>
                    </a:prstGeom>
                    <a:noFill/>
                  </pic:spPr>
                </pic:pic>
              </a:graphicData>
            </a:graphic>
          </wp:anchor>
        </w:drawing>
      </w:r>
    </w:p>
    <w:p>
      <w:pPr>
        <w:ind w:left="63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 attributable to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(70,670)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58,330</w:t>
            </w:r>
          </w:p>
        </w:tc>
        <w:tc>
          <w:tcPr>
            <w:tcW w:w="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(214,568)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223,810</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Loss on the sale of</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Care.com, net of income taxes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75,643</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Earnings from</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discontinued operations, net of</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(43,774)</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2"/>
        </w:trPr>
        <w:tc>
          <w:tcPr>
            <w:tcW w:w="24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Net loss attributable to</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(258,342)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267,584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3"/>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20" w:right="480"/>
        <w:spacing w:after="0" w:line="234" w:lineRule="auto"/>
        <w:rPr>
          <w:sz w:val="20"/>
          <w:szCs w:val="20"/>
          <w:color w:val="auto"/>
        </w:rPr>
      </w:pPr>
      <w:r>
        <w:rPr>
          <w:rFonts w:ascii="Times New Roman" w:cs="Times New Roman" w:eastAsia="Times New Roman" w:hAnsi="Times New Roman"/>
          <w:sz w:val="18"/>
          <w:szCs w:val="18"/>
          <w:color w:val="auto"/>
        </w:rPr>
        <w:t>Adjustments to reconcile net loss attributable to continuing operations to net cash provided by (used in) operating activities attributable to continuing operations: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19,040</w:t>
            </w:r>
          </w:p>
        </w:tc>
        <w:tc>
          <w:tcPr>
            <w:tcW w:w="13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19,040</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22,418</w:t>
            </w:r>
          </w:p>
        </w:tc>
        <w:tc>
          <w:tcPr>
            <w:tcW w:w="13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w:t>
            </w:r>
          </w:p>
        </w:tc>
      </w:tr>
      <w:tr>
        <w:trPr>
          <w:trHeight w:val="175"/>
        </w:trPr>
        <w:tc>
          <w:tcPr>
            <w:tcW w:w="25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2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16,412</w:t>
            </w: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(7,722)</w:t>
            </w: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8,690</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(21,390)</w:t>
            </w: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26,883</w:t>
            </w:r>
          </w:p>
        </w:tc>
        <w:tc>
          <w:tcPr>
            <w:tcW w:w="1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r>
      <w:tr>
        <w:trPr>
          <w:trHeight w:val="905"/>
        </w:trPr>
        <w:tc>
          <w:tcPr>
            <w:tcW w:w="2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2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0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IAC Inc.</w:t>
            </w:r>
          </w:p>
        </w:tc>
        <w:tc>
          <w:tcPr>
            <w:tcW w:w="80" w:type="dxa"/>
            <w:vAlign w:val="bottom"/>
          </w:tcPr>
          <w:p>
            <w:pPr>
              <w:spacing w:after="0"/>
              <w:rPr>
                <w:sz w:val="12"/>
                <w:szCs w:val="12"/>
                <w:color w:val="auto"/>
              </w:rPr>
            </w:pPr>
          </w:p>
        </w:tc>
        <w:tc>
          <w:tcPr>
            <w:tcW w:w="10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entities</w:t>
            </w: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IAC Inc.</w:t>
            </w:r>
          </w:p>
        </w:tc>
        <w:tc>
          <w:tcPr>
            <w:tcW w:w="80" w:type="dxa"/>
            <w:vAlign w:val="bottom"/>
          </w:tcPr>
          <w:p>
            <w:pPr>
              <w:spacing w:after="0"/>
              <w:rPr>
                <w:sz w:val="12"/>
                <w:szCs w:val="12"/>
                <w:color w:val="auto"/>
              </w:rPr>
            </w:pPr>
          </w:p>
        </w:tc>
        <w:tc>
          <w:tcPr>
            <w:tcW w:w="10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entities</w:t>
            </w: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00" w:type="dxa"/>
            <w:vAlign w:val="bottom"/>
            <w:gridSpan w:val="2"/>
            <w:vMerge w:val="continue"/>
          </w:tcPr>
          <w:p>
            <w:pPr>
              <w:spacing w:after="0"/>
              <w:rPr>
                <w:sz w:val="12"/>
                <w:szCs w:val="12"/>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00" w:type="dxa"/>
            <w:vAlign w:val="bottom"/>
            <w:gridSpan w:val="2"/>
            <w:vMerge w:val="continue"/>
          </w:tcPr>
          <w:p>
            <w:pPr>
              <w:spacing w:after="0"/>
              <w:rPr>
                <w:sz w:val="12"/>
                <w:szCs w:val="12"/>
                <w:color w:val="auto"/>
              </w:rPr>
            </w:pPr>
          </w:p>
        </w:tc>
        <w:tc>
          <w:tcPr>
            <w:tcW w:w="9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020" w:type="dxa"/>
            <w:vAlign w:val="bottom"/>
            <w:gridSpan w:val="2"/>
            <w:vMerge w:val="continue"/>
          </w:tcPr>
          <w:p>
            <w:pPr>
              <w:spacing w:after="0"/>
              <w:rPr>
                <w:sz w:val="17"/>
                <w:szCs w:val="17"/>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240"/>
              <w:spacing w:after="0" w:line="161" w:lineRule="exact"/>
              <w:rPr>
                <w:sz w:val="20"/>
                <w:szCs w:val="20"/>
                <w:color w:val="auto"/>
              </w:rPr>
            </w:pPr>
            <w:r>
              <w:rPr>
                <w:rFonts w:ascii="Times New Roman" w:cs="Times New Roman" w:eastAsia="Times New Roman" w:hAnsi="Times New Roman"/>
                <w:sz w:val="18"/>
                <w:szCs w:val="18"/>
                <w:color w:val="auto"/>
              </w:rPr>
              <w:t>Non-cash lease expense</w:t>
            </w: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(including right-of-use asset</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0" w:type="dxa"/>
            <w:vAlign w:val="bottom"/>
          </w:tcPr>
          <w:p>
            <w:pPr>
              <w:spacing w:after="0"/>
              <w:rPr>
                <w:sz w:val="1"/>
                <w:szCs w:val="1"/>
                <w:color w:val="auto"/>
              </w:rPr>
            </w:pPr>
          </w:p>
        </w:tc>
      </w:tr>
      <w:tr>
        <w:trPr>
          <w:trHeight w:val="229"/>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downward adjustments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to the carrying value of</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8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equity securities without</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readily determinable fair</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values and net gains on sales</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8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of investments and</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8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8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businesses</w:t>
            </w:r>
          </w:p>
        </w:tc>
        <w:tc>
          <w:tcPr>
            <w:tcW w:w="102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Unrealized (gain) loss on</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investment in MGM Resorts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(34,005)</w:t>
            </w:r>
          </w:p>
        </w:tc>
        <w:tc>
          <w:tcPr>
            <w:tcW w:w="10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34,005</w:t>
            </w:r>
          </w:p>
        </w:tc>
        <w:tc>
          <w:tcPr>
            <w:tcW w:w="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324,265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(324,265)</w:t>
            </w:r>
          </w:p>
        </w:tc>
        <w:tc>
          <w:tcPr>
            <w:tcW w:w="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0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14,727</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71,190</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0" w:type="dxa"/>
            <w:vAlign w:val="bottom"/>
          </w:tcPr>
          <w:p>
            <w:pPr>
              <w:spacing w:after="0"/>
              <w:rPr>
                <w:sz w:val="1"/>
                <w:szCs w:val="1"/>
                <w:color w:val="auto"/>
              </w:rPr>
            </w:pPr>
          </w:p>
        </w:tc>
      </w:tr>
      <w:tr>
        <w:trPr>
          <w:trHeight w:val="176"/>
        </w:trPr>
        <w:tc>
          <w:tcPr>
            <w:tcW w:w="23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Gain on sale of an unutilized</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domain name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gains on amendments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and early terminations of</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agreements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w:t>
            </w:r>
          </w:p>
        </w:tc>
        <w:tc>
          <w:tcPr>
            <w:tcW w:w="0" w:type="dxa"/>
            <w:vAlign w:val="bottom"/>
          </w:tcPr>
          <w:p>
            <w:pPr>
              <w:spacing w:after="0"/>
              <w:rPr>
                <w:sz w:val="1"/>
                <w:szCs w:val="1"/>
                <w:color w:val="auto"/>
              </w:rPr>
            </w:pPr>
          </w:p>
        </w:tc>
      </w:tr>
      <w:tr>
        <w:trPr>
          <w:trHeight w:val="230"/>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adjustments, net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Changes in assets and liabilities,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effects of dispositions:</w:t>
            </w: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85,248</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76,382</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27,159</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0" w:type="dxa"/>
            <w:vAlign w:val="bottom"/>
          </w:tcPr>
          <w:p>
            <w:pPr>
              <w:spacing w:after="0"/>
              <w:rPr>
                <w:sz w:val="1"/>
                <w:szCs w:val="1"/>
                <w:color w:val="auto"/>
              </w:rPr>
            </w:pPr>
          </w:p>
        </w:tc>
      </w:tr>
      <w:tr>
        <w:trPr>
          <w:trHeight w:val="230"/>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10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(33,591)</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Accounts payable and other</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liabilities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(61,564)</w:t>
            </w:r>
          </w:p>
        </w:tc>
        <w:tc>
          <w:tcPr>
            <w:tcW w:w="10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8,002</w:t>
            </w: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(42,752)</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(22,773)</w:t>
            </w: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(49,737)</w:t>
            </w:r>
          </w:p>
        </w:tc>
        <w:tc>
          <w:tcPr>
            <w:tcW w:w="0" w:type="dxa"/>
            <w:vAlign w:val="bottom"/>
          </w:tcPr>
          <w:p>
            <w:pPr>
              <w:spacing w:after="0"/>
              <w:rPr>
                <w:sz w:val="1"/>
                <w:szCs w:val="1"/>
                <w:color w:val="auto"/>
              </w:rPr>
            </w:pPr>
          </w:p>
        </w:tc>
      </w:tr>
      <w:tr>
        <w:trPr>
          <w:trHeight w:val="175"/>
        </w:trPr>
        <w:tc>
          <w:tcPr>
            <w:tcW w:w="23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Income taxes payable and</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receivable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156"/>
        </w:trPr>
        <w:tc>
          <w:tcPr>
            <w:tcW w:w="23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attributable to continuing</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9,964</w:t>
            </w:r>
          </w:p>
        </w:tc>
        <w:tc>
          <w:tcPr>
            <w:tcW w:w="104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34,880</w:t>
            </w:r>
          </w:p>
        </w:tc>
        <w:tc>
          <w:tcPr>
            <w:tcW w:w="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10,810</w:t>
            </w:r>
          </w:p>
        </w:tc>
        <w:tc>
          <w:tcPr>
            <w:tcW w:w="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55,654</w:t>
            </w:r>
          </w:p>
        </w:tc>
        <w:tc>
          <w:tcPr>
            <w:tcW w:w="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(27,311)</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35,314</w:t>
            </w:r>
          </w:p>
        </w:tc>
        <w:tc>
          <w:tcPr>
            <w:tcW w:w="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8,624</w:t>
            </w:r>
          </w:p>
        </w:tc>
        <w:tc>
          <w:tcPr>
            <w:tcW w:w="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16,627</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02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attributable to continuing operations:</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0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w w:val="99"/>
              </w:rPr>
              <w:t>Net proceeds from the sale of</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Care.com</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295,697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(295,697)</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5"/>
        </w:trPr>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tcPr>
          <w:p>
            <w:pPr>
              <w:spacing w:after="0"/>
              <w:rPr>
                <w:sz w:val="12"/>
                <w:szCs w:val="12"/>
                <w:color w:val="auto"/>
              </w:rPr>
            </w:pPr>
          </w:p>
        </w:tc>
        <w:tc>
          <w:tcPr>
            <w:tcW w:w="10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IAC Inc.</w:t>
            </w: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entities</w:t>
            </w: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IAC Inc.</w:t>
            </w:r>
          </w:p>
        </w:tc>
        <w:tc>
          <w:tcPr>
            <w:tcW w:w="80" w:type="dxa"/>
            <w:vAlign w:val="bottom"/>
          </w:tcPr>
          <w:p>
            <w:pPr>
              <w:spacing w:after="0"/>
              <w:rPr>
                <w:sz w:val="12"/>
                <w:szCs w:val="12"/>
                <w:color w:val="auto"/>
              </w:rPr>
            </w:pPr>
          </w:p>
        </w:tc>
        <w:tc>
          <w:tcPr>
            <w:tcW w:w="10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entities</w:t>
            </w: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280" w:type="dxa"/>
            <w:vAlign w:val="bottom"/>
            <w:gridSpan w:val="2"/>
            <w:vMerge w:val="continue"/>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00" w:type="dxa"/>
            <w:vAlign w:val="bottom"/>
            <w:gridSpan w:val="2"/>
            <w:vMerge w:val="continue"/>
          </w:tcPr>
          <w:p>
            <w:pPr>
              <w:spacing w:after="0"/>
              <w:rPr>
                <w:sz w:val="12"/>
                <w:szCs w:val="12"/>
                <w:color w:val="auto"/>
              </w:rPr>
            </w:pP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040" w:type="dxa"/>
            <w:vAlign w:val="bottom"/>
            <w:gridSpan w:val="2"/>
            <w:vMerge w:val="continue"/>
          </w:tcPr>
          <w:p>
            <w:pPr>
              <w:spacing w:after="0"/>
              <w:rPr>
                <w:sz w:val="17"/>
                <w:szCs w:val="17"/>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40"/>
              <w:spacing w:after="0" w:line="162" w:lineRule="exact"/>
              <w:rPr>
                <w:sz w:val="20"/>
                <w:szCs w:val="20"/>
                <w:color w:val="auto"/>
              </w:rPr>
            </w:pPr>
            <w:r>
              <w:rPr>
                <w:rFonts w:ascii="Times New Roman" w:cs="Times New Roman" w:eastAsia="Times New Roman" w:hAnsi="Times New Roman"/>
                <w:sz w:val="18"/>
                <w:szCs w:val="18"/>
                <w:color w:val="auto"/>
              </w:rPr>
              <w:t>Purchase of MGM Resorts</w:t>
            </w: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common 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37,232</w:t>
            </w:r>
          </w:p>
        </w:tc>
        <w:tc>
          <w:tcPr>
            <w:tcW w:w="100" w:type="dxa"/>
            <w:vAlign w:val="bottom"/>
          </w:tcPr>
          <w:p>
            <w:pPr>
              <w:spacing w:after="0"/>
              <w:rPr>
                <w:sz w:val="21"/>
                <w:szCs w:val="21"/>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Allocation of Angi Inc.'s</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in the Distribution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(386,563)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386,563</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4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the sale of an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unutilized domain name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1"/>
                <w:szCs w:val="21"/>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proceeds from the sales</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of investments and</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businesses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4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the sale of a</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portion of the retirement</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56"/>
        </w:trPr>
        <w:tc>
          <w:tcPr>
            <w:tcW w:w="24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attributable to continuing</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260,644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(267,118)</w:t>
            </w:r>
          </w:p>
        </w:tc>
        <w:tc>
          <w:tcPr>
            <w:tcW w:w="100" w:type="dxa"/>
            <w:vAlign w:val="bottom"/>
          </w:tcPr>
          <w:p>
            <w:pPr>
              <w:spacing w:after="0"/>
              <w:rPr>
                <w:sz w:val="16"/>
                <w:szCs w:val="16"/>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(6,474)</w:t>
            </w:r>
          </w:p>
        </w:tc>
        <w:tc>
          <w:tcPr>
            <w:tcW w:w="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(375,221)</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376,618</w:t>
            </w:r>
          </w:p>
        </w:tc>
        <w:tc>
          <w:tcPr>
            <w:tcW w:w="80" w:type="dxa"/>
            <w:vAlign w:val="bottom"/>
          </w:tcPr>
          <w:p>
            <w:pPr>
              <w:spacing w:after="0"/>
              <w:rPr>
                <w:sz w:val="16"/>
                <w:szCs w:val="16"/>
                <w:color w:val="auto"/>
              </w:rPr>
            </w:pPr>
          </w:p>
        </w:tc>
        <w:tc>
          <w:tcPr>
            <w:tcW w:w="1300" w:type="dxa"/>
            <w:vAlign w:val="bottom"/>
            <w:gridSpan w:val="2"/>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1,397</w:t>
            </w:r>
          </w:p>
        </w:tc>
        <w:tc>
          <w:tcPr>
            <w:tcW w:w="0" w:type="dxa"/>
            <w:vAlign w:val="bottom"/>
          </w:tcPr>
          <w:p>
            <w:pPr>
              <w:spacing w:after="0"/>
              <w:rPr>
                <w:sz w:val="1"/>
                <w:szCs w:val="1"/>
                <w:color w:val="auto"/>
              </w:rPr>
            </w:pPr>
          </w:p>
        </w:tc>
      </w:tr>
      <w:tr>
        <w:trPr>
          <w:trHeight w:val="238"/>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00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 attributable to continuing operations:</w:t>
      </w:r>
    </w:p>
    <w:tbl>
      <w:tblPr>
        <w:tblLayout w:type="fixed"/>
        <w:tblInd w:w="0" w:type="dxa"/>
        <w:tblCellMar>
          <w:top w:w="0" w:type="dxa"/>
          <w:left w:w="0" w:type="dxa"/>
          <w:bottom w:w="0" w:type="dxa"/>
          <w:right w:w="0" w:type="dxa"/>
        </w:tblCellMar>
      </w:tblPr>
      <w:tr>
        <w:trPr>
          <w:trHeight w:val="189"/>
        </w:trPr>
        <w:tc>
          <w:tcPr>
            <w:tcW w:w="240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Principal payments on the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 Loans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Withholding taxes paid on</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behalf of employees on net</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settled stock-based awards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(17,999)</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(45,183)</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34,754</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0" w:type="dxa"/>
            <w:vAlign w:val="bottom"/>
          </w:tcPr>
          <w:p>
            <w:pPr>
              <w:spacing w:after="0"/>
              <w:rPr>
                <w:sz w:val="1"/>
                <w:szCs w:val="1"/>
                <w:color w:val="auto"/>
              </w:rPr>
            </w:pPr>
          </w:p>
        </w:tc>
      </w:tr>
      <w:tr>
        <w:trPr>
          <w:trHeight w:val="229"/>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123,574</w:t>
            </w:r>
          </w:p>
        </w:tc>
        <w:tc>
          <w:tcPr>
            <w:tcW w:w="100" w:type="dxa"/>
            <w:vAlign w:val="bottom"/>
          </w:tcPr>
          <w:p>
            <w:pPr>
              <w:spacing w:after="0"/>
              <w:rPr>
                <w:sz w:val="19"/>
                <w:szCs w:val="19"/>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(179,394)</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179,394</w:t>
            </w:r>
          </w:p>
        </w:tc>
        <w:tc>
          <w:tcPr>
            <w:tcW w:w="8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Reimbursement to IAC for</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shares issued to settle People</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 SARs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8"/>
              </w:rPr>
              <w:t>(6,118)</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0" w:type="dxa"/>
            <w:vAlign w:val="bottom"/>
          </w:tcPr>
          <w:p>
            <w:pPr>
              <w:spacing w:after="0"/>
              <w:rPr>
                <w:sz w:val="1"/>
                <w:szCs w:val="1"/>
                <w:color w:val="auto"/>
              </w:rPr>
            </w:pPr>
          </w:p>
        </w:tc>
      </w:tr>
      <w:tr>
        <w:trPr>
          <w:trHeight w:val="175"/>
        </w:trPr>
        <w:tc>
          <w:tcPr>
            <w:tcW w:w="24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Distribution from Angi Inc.</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pursuant to the tax sharing</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00" w:type="dxa"/>
            <w:vAlign w:val="bottom"/>
          </w:tcPr>
          <w:p>
            <w:pPr>
              <w:spacing w:after="0"/>
              <w:rPr>
                <w:sz w:val="20"/>
                <w:szCs w:val="20"/>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Intercompany between</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People Inc. and IAC Inc.</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(2,506)</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4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cash used in financing</w:t>
            </w: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activities attributable to</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(141,152)</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135,087</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(10,810)</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(16,875)</w:t>
            </w:r>
          </w:p>
        </w:tc>
        <w:tc>
          <w:tcPr>
            <w:tcW w:w="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(233,982)</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217,309</w:t>
            </w:r>
          </w:p>
        </w:tc>
        <w:tc>
          <w:tcPr>
            <w:tcW w:w="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(8,624)</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(25,297)</w:t>
            </w:r>
          </w:p>
        </w:tc>
        <w:tc>
          <w:tcPr>
            <w:tcW w:w="0" w:type="dxa"/>
            <w:vAlign w:val="bottom"/>
          </w:tcPr>
          <w:p>
            <w:pPr>
              <w:spacing w:after="0"/>
              <w:rPr>
                <w:sz w:val="1"/>
                <w:szCs w:val="1"/>
                <w:color w:val="auto"/>
              </w:rPr>
            </w:pPr>
          </w:p>
        </w:tc>
      </w:tr>
      <w:tr>
        <w:trPr>
          <w:trHeight w:val="23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Total cash provided by (used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continuing operations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129,456</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(97,151)</w:t>
            </w:r>
          </w:p>
        </w:tc>
        <w:tc>
          <w:tcPr>
            <w:tcW w:w="100" w:type="dxa"/>
            <w:vAlign w:val="bottom"/>
          </w:tcPr>
          <w:p>
            <w:pPr>
              <w:spacing w:after="0"/>
              <w:rPr>
                <w:sz w:val="21"/>
                <w:szCs w:val="21"/>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(636,514)</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629,241</w:t>
            </w:r>
          </w:p>
        </w:tc>
        <w:tc>
          <w:tcPr>
            <w:tcW w:w="8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cash provided by</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attributable to discontinued</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24,617</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(24,617)</w:t>
            </w:r>
          </w:p>
        </w:tc>
        <w:tc>
          <w:tcPr>
            <w:tcW w:w="8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operations</w:t>
            </w: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2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Less: IAC Inc.</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00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IAC Inc.</w:t>
            </w:r>
          </w:p>
        </w:tc>
        <w:tc>
          <w:tcPr>
            <w:tcW w:w="80" w:type="dxa"/>
            <w:vAlign w:val="bottom"/>
          </w:tcPr>
          <w:p>
            <w:pPr>
              <w:spacing w:after="0"/>
              <w:rPr>
                <w:sz w:val="12"/>
                <w:szCs w:val="12"/>
                <w:color w:val="auto"/>
              </w:rPr>
            </w:pPr>
          </w:p>
        </w:tc>
        <w:tc>
          <w:tcPr>
            <w:tcW w:w="10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entities</w:t>
            </w: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IAC Inc.</w:t>
            </w:r>
          </w:p>
        </w:tc>
        <w:tc>
          <w:tcPr>
            <w:tcW w:w="80" w:type="dxa"/>
            <w:vAlign w:val="bottom"/>
          </w:tcPr>
          <w:p>
            <w:pPr>
              <w:spacing w:after="0"/>
              <w:rPr>
                <w:sz w:val="12"/>
                <w:szCs w:val="12"/>
                <w:color w:val="auto"/>
              </w:rPr>
            </w:pPr>
          </w:p>
        </w:tc>
        <w:tc>
          <w:tcPr>
            <w:tcW w:w="10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entities</w:t>
            </w: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00" w:type="dxa"/>
            <w:vAlign w:val="bottom"/>
            <w:gridSpan w:val="2"/>
            <w:vMerge w:val="continue"/>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00" w:type="dxa"/>
            <w:vAlign w:val="bottom"/>
            <w:gridSpan w:val="2"/>
            <w:vMerge w:val="continue"/>
          </w:tcPr>
          <w:p>
            <w:pPr>
              <w:spacing w:after="0"/>
              <w:rPr>
                <w:sz w:val="12"/>
                <w:szCs w:val="12"/>
                <w:color w:val="auto"/>
              </w:rPr>
            </w:pPr>
          </w:p>
        </w:tc>
        <w:tc>
          <w:tcPr>
            <w:tcW w:w="9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040" w:type="dxa"/>
            <w:vAlign w:val="bottom"/>
            <w:gridSpan w:val="2"/>
            <w:vMerge w:val="continue"/>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40"/>
              <w:spacing w:after="0" w:line="162" w:lineRule="exact"/>
              <w:rPr>
                <w:sz w:val="20"/>
                <w:szCs w:val="20"/>
                <w:color w:val="auto"/>
              </w:rPr>
            </w:pPr>
            <w:r>
              <w:rPr>
                <w:rFonts w:ascii="Times New Roman" w:cs="Times New Roman" w:eastAsia="Times New Roman" w:hAnsi="Times New Roman"/>
                <w:sz w:val="18"/>
                <w:szCs w:val="18"/>
                <w:color w:val="auto"/>
              </w:rPr>
              <w:t>Net cash used in investing</w:t>
            </w: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activities attributable to</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8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cash used in financing</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activities attributable to</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238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b w:val="1"/>
                <w:bCs w:val="1"/>
                <w:color w:val="auto"/>
              </w:rPr>
              <w:t>Total cash provided by</w:t>
            </w: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80" w:type="dxa"/>
            <w:vAlign w:val="bottom"/>
          </w:tcPr>
          <w:p>
            <w:pPr>
              <w:ind w:left="360"/>
              <w:spacing w:after="0" w:line="180" w:lineRule="exact"/>
              <w:rPr>
                <w:sz w:val="20"/>
                <w:szCs w:val="20"/>
                <w:color w:val="auto"/>
              </w:rPr>
            </w:pPr>
            <w:r>
              <w:rPr>
                <w:rFonts w:ascii="Times New Roman" w:cs="Times New Roman" w:eastAsia="Times New Roman" w:hAnsi="Times New Roman"/>
                <w:sz w:val="18"/>
                <w:szCs w:val="18"/>
                <w:b w:val="1"/>
                <w:bCs w:val="1"/>
                <w:color w:val="auto"/>
              </w:rPr>
              <w:t>(used in) discontinued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8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Effect of exchange rate changes</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on cash and cash equivalents</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restricted cash</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155"/>
        </w:trPr>
        <w:tc>
          <w:tcPr>
            <w:tcW w:w="23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increase (decrease) in</w:t>
            </w: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cash and cash equivalents and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133,409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(102,004)</w:t>
            </w:r>
          </w:p>
        </w:tc>
        <w:tc>
          <w:tcPr>
            <w:tcW w:w="8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31,405</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(638,916)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631,841</w:t>
            </w:r>
          </w:p>
        </w:tc>
        <w:tc>
          <w:tcPr>
            <w:tcW w:w="8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771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ind w:left="20"/>
        <w:spacing w:after="0" w:line="233" w:lineRule="auto"/>
        <w:rPr>
          <w:sz w:val="20"/>
          <w:szCs w:val="20"/>
          <w:color w:val="auto"/>
        </w:rPr>
      </w:pPr>
      <w:r>
        <w:rPr>
          <w:rFonts w:ascii="Times New Roman" w:cs="Times New Roman" w:eastAsia="Times New Roman" w:hAnsi="Times New Roman"/>
          <w:sz w:val="17"/>
          <w:szCs w:val="17"/>
          <w:color w:val="auto"/>
        </w:rPr>
        <w:t>Cash and cash equivalents and restricted cash at beginning of</w:t>
      </w:r>
    </w:p>
    <w:p>
      <w:pPr>
        <w:ind w:left="20"/>
        <w:spacing w:after="0"/>
        <w:rPr>
          <w:sz w:val="20"/>
          <w:szCs w:val="20"/>
          <w:color w:val="auto"/>
        </w:rPr>
      </w:pPr>
      <w:r>
        <w:rPr>
          <w:rFonts w:ascii="Times New Roman" w:cs="Times New Roman" w:eastAsia="Times New Roman" w:hAnsi="Times New Roman"/>
          <w:sz w:val="18"/>
          <w:szCs w:val="18"/>
          <w:color w:val="auto"/>
        </w:rPr>
        <w:t>period</w:t>
      </w:r>
    </w:p>
    <w:p>
      <w:pPr>
        <w:spacing w:after="0" w:line="7" w:lineRule="exact"/>
        <w:rPr>
          <w:sz w:val="20"/>
          <w:szCs w:val="20"/>
          <w:color w:val="auto"/>
        </w:rPr>
      </w:pPr>
    </w:p>
    <w:p>
      <w:pPr>
        <w:ind w:left="20" w:right="20"/>
        <w:spacing w:after="0" w:line="220" w:lineRule="auto"/>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w:t>
      </w:r>
    </w:p>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986,831</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(694,652)</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292,179</w:t>
            </w:r>
          </w:p>
        </w:tc>
        <w:tc>
          <w:tcPr>
            <w:tcW w:w="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1,807,255</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(1,550,133)</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257,122</w:t>
            </w:r>
          </w:p>
        </w:tc>
      </w:tr>
      <w:tr>
        <w:trPr>
          <w:trHeight w:val="547"/>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$ 1,120,240</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(796,656)</w:t>
            </w:r>
          </w:p>
        </w:tc>
        <w:tc>
          <w:tcPr>
            <w:tcW w:w="8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323,584</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$ 1,168,339</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(918,292)</w:t>
            </w:r>
          </w:p>
        </w:tc>
        <w:tc>
          <w:tcPr>
            <w:tcW w:w="8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250,047</w:t>
            </w:r>
          </w:p>
        </w:tc>
      </w:tr>
      <w:tr>
        <w:trPr>
          <w:trHeight w:val="20"/>
        </w:trPr>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220" w:space="160"/>
            <w:col w:w="8860"/>
          </w:cols>
          <w:pgMar w:left="320" w:top="118" w:right="339" w:bottom="1440" w:gutter="0" w:footer="0" w:header="0"/>
          <w:type w:val="continuous"/>
        </w:sectPr>
      </w:pPr>
    </w:p>
    <w:p>
      <w:pPr>
        <w:spacing w:after="0" w:line="230"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16"/>
          <w:szCs w:val="16"/>
          <w:b w:val="1"/>
          <w:bCs w:val="1"/>
          <w:color w:val="auto"/>
        </w:rPr>
        <w:t>PEOPLE INC. CONSOLIDATED STATEMENTS OF SHAREHOLDER’S EQUITY FOR THE THREE MONTHS ENDED MARCH 31, 2026 AND 2025 (Unaudited)</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2060" w:type="dxa"/>
            <w:vAlign w:val="bottom"/>
            <w:gridSpan w:val="4"/>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(500,000 shares authorized)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5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restart"/>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4"/>
                <w:szCs w:val="4"/>
                <w:color w:val="auto"/>
              </w:rPr>
            </w:pPr>
          </w:p>
        </w:tc>
        <w:tc>
          <w:tcPr>
            <w:tcW w:w="960" w:type="dxa"/>
            <w:vAlign w:val="bottom"/>
            <w:vMerge w:val="restart"/>
          </w:tcPr>
          <w:p>
            <w:pPr>
              <w:jc w:val="center"/>
              <w:ind w:right="35"/>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3"/>
        </w:trPr>
        <w:tc>
          <w:tcPr>
            <w:tcW w:w="4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80" w:type="dxa"/>
            <w:vAlign w:val="bottom"/>
            <w:gridSpan w:val="2"/>
            <w:vMerge w:val="restart"/>
          </w:tcPr>
          <w:p>
            <w:pPr>
              <w:jc w:val="center"/>
              <w:ind w:right="412"/>
              <w:spacing w:after="0"/>
              <w:rPr>
                <w:sz w:val="20"/>
                <w:szCs w:val="20"/>
                <w:color w:val="auto"/>
              </w:rPr>
            </w:pPr>
            <w:r>
              <w:rPr>
                <w:rFonts w:ascii="Times New Roman" w:cs="Times New Roman" w:eastAsia="Times New Roman" w:hAnsi="Times New Roman"/>
                <w:sz w:val="14"/>
                <w:szCs w:val="14"/>
                <w:b w:val="1"/>
                <w:bCs w:val="1"/>
                <w:color w:val="auto"/>
              </w:rPr>
              <w:t>$0.01 par value</w:t>
            </w:r>
          </w:p>
        </w:tc>
        <w:tc>
          <w:tcPr>
            <w:tcW w:w="80" w:type="dxa"/>
            <w:vAlign w:val="bottom"/>
            <w:vMerge w:val="restart"/>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45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104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16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960" w:type="dxa"/>
            <w:vAlign w:val="bottom"/>
          </w:tcPr>
          <w:p>
            <w:pPr>
              <w:jc w:val="center"/>
              <w:ind w:right="35"/>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7"/>
        </w:trPr>
        <w:tc>
          <w:tcPr>
            <w:tcW w:w="456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share count)</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317,570</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$ 1,570,603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(587,788)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968,375</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Pr>
          <w:p>
            <w:pPr>
              <w:spacing w:after="0"/>
              <w:rPr>
                <w:sz w:val="19"/>
                <w:szCs w:val="19"/>
                <w:color w:val="auto"/>
              </w:rPr>
            </w:pPr>
          </w:p>
        </w:tc>
        <w:tc>
          <w:tcPr>
            <w:tcW w:w="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tcPr>
          <w:p>
            <w:pPr>
              <w:spacing w:after="0"/>
              <w:rPr>
                <w:sz w:val="19"/>
                <w:szCs w:val="19"/>
                <w:color w:val="auto"/>
              </w:rPr>
            </w:pPr>
          </w:p>
        </w:tc>
        <w:tc>
          <w:tcPr>
            <w:tcW w:w="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0" w:type="dxa"/>
            <w:vAlign w:val="bottom"/>
          </w:tcPr>
          <w:p>
            <w:pPr>
              <w:spacing w:after="0"/>
              <w:rPr>
                <w:sz w:val="1"/>
                <w:szCs w:val="1"/>
                <w:color w:val="auto"/>
              </w:rPr>
            </w:pPr>
          </w:p>
        </w:tc>
      </w:tr>
      <w:tr>
        <w:trPr>
          <w:trHeight w:val="184"/>
        </w:trPr>
        <w:tc>
          <w:tcPr>
            <w:tcW w:w="4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Withholding taxes paid on behalf of employees on net settled</w:t>
            </w: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w:t>
            </w:r>
          </w:p>
        </w:tc>
        <w:tc>
          <w:tcPr>
            <w:tcW w:w="5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0" w:type="dxa"/>
            <w:vAlign w:val="bottom"/>
          </w:tcPr>
          <w:p>
            <w:pPr>
              <w:spacing w:after="0"/>
              <w:rPr>
                <w:sz w:val="1"/>
                <w:szCs w:val="1"/>
                <w:color w:val="auto"/>
              </w:rPr>
            </w:pPr>
          </w:p>
        </w:tc>
      </w:tr>
      <w:tr>
        <w:trPr>
          <w:trHeight w:val="184"/>
        </w:trPr>
        <w:tc>
          <w:tcPr>
            <w:tcW w:w="4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Reimbursement to IAC for settlement of equity awards held</w:t>
            </w: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employees</w:t>
            </w:r>
          </w:p>
        </w:tc>
        <w:tc>
          <w:tcPr>
            <w:tcW w:w="500" w:type="dxa"/>
            <w:vAlign w:val="bottom"/>
          </w:tcPr>
          <w:p>
            <w:pPr>
              <w:spacing w:after="0"/>
              <w:rPr>
                <w:sz w:val="20"/>
                <w:szCs w:val="20"/>
                <w:color w:val="auto"/>
              </w:rPr>
            </w:pPr>
          </w:p>
        </w:tc>
        <w:tc>
          <w:tcPr>
            <w:tcW w:w="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$ 1,561,633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947,455</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2060" w:type="dxa"/>
            <w:vAlign w:val="bottom"/>
            <w:gridSpan w:val="4"/>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(500,000 shares authorized)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5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4"/>
                <w:szCs w:val="4"/>
                <w:color w:val="auto"/>
              </w:rPr>
            </w:pPr>
          </w:p>
        </w:tc>
        <w:tc>
          <w:tcPr>
            <w:tcW w:w="960" w:type="dxa"/>
            <w:vAlign w:val="bottom"/>
            <w:vMerge w:val="restart"/>
          </w:tcPr>
          <w:p>
            <w:pPr>
              <w:jc w:val="center"/>
              <w:ind w:right="35"/>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1"/>
        </w:trPr>
        <w:tc>
          <w:tcPr>
            <w:tcW w:w="4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80" w:type="dxa"/>
            <w:vAlign w:val="bottom"/>
            <w:gridSpan w:val="2"/>
            <w:vMerge w:val="restart"/>
          </w:tcPr>
          <w:p>
            <w:pPr>
              <w:jc w:val="center"/>
              <w:ind w:right="412"/>
              <w:spacing w:after="0"/>
              <w:rPr>
                <w:sz w:val="20"/>
                <w:szCs w:val="20"/>
                <w:color w:val="auto"/>
              </w:rPr>
            </w:pPr>
            <w:r>
              <w:rPr>
                <w:rFonts w:ascii="Times New Roman" w:cs="Times New Roman" w:eastAsia="Times New Roman" w:hAnsi="Times New Roman"/>
                <w:sz w:val="14"/>
                <w:szCs w:val="14"/>
                <w:b w:val="1"/>
                <w:bCs w:val="1"/>
                <w:color w:val="auto"/>
              </w:rPr>
              <w:t>$0.01 par value</w:t>
            </w:r>
          </w:p>
        </w:tc>
        <w:tc>
          <w:tcPr>
            <w:tcW w:w="80" w:type="dxa"/>
            <w:vAlign w:val="bottom"/>
            <w:vMerge w:val="restart"/>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1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960" w:type="dxa"/>
            <w:vAlign w:val="bottom"/>
          </w:tcPr>
          <w:p>
            <w:pPr>
              <w:jc w:val="center"/>
              <w:ind w:right="35"/>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7"/>
        </w:trPr>
        <w:tc>
          <w:tcPr>
            <w:tcW w:w="456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share count)</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317,570</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$ 1,556,899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(650,336)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895,878</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500" w:type="dxa"/>
            <w:vAlign w:val="bottom"/>
          </w:tcPr>
          <w:p>
            <w:pPr>
              <w:spacing w:after="0"/>
              <w:rPr>
                <w:sz w:val="19"/>
                <w:szCs w:val="19"/>
                <w:color w:val="auto"/>
              </w:rPr>
            </w:pPr>
          </w:p>
        </w:tc>
        <w:tc>
          <w:tcPr>
            <w:tcW w:w="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tcPr>
          <w:p>
            <w:pPr>
              <w:spacing w:after="0"/>
              <w:rPr>
                <w:sz w:val="19"/>
                <w:szCs w:val="19"/>
                <w:color w:val="auto"/>
              </w:rPr>
            </w:pPr>
          </w:p>
        </w:tc>
        <w:tc>
          <w:tcPr>
            <w:tcW w:w="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0" w:type="dxa"/>
            <w:vAlign w:val="bottom"/>
          </w:tcPr>
          <w:p>
            <w:pPr>
              <w:spacing w:after="0"/>
              <w:rPr>
                <w:sz w:val="1"/>
                <w:szCs w:val="1"/>
                <w:color w:val="auto"/>
              </w:rPr>
            </w:pPr>
          </w:p>
        </w:tc>
      </w:tr>
      <w:tr>
        <w:trPr>
          <w:trHeight w:val="176"/>
        </w:trPr>
        <w:tc>
          <w:tcPr>
            <w:tcW w:w="4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Withholding taxes paid on behalf of employees on net settled</w:t>
            </w: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w:t>
            </w:r>
          </w:p>
        </w:tc>
        <w:tc>
          <w:tcPr>
            <w:tcW w:w="5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0" w:type="dxa"/>
            <w:vAlign w:val="bottom"/>
          </w:tcPr>
          <w:p>
            <w:pPr>
              <w:spacing w:after="0"/>
              <w:rPr>
                <w:sz w:val="1"/>
                <w:szCs w:val="1"/>
                <w:color w:val="auto"/>
              </w:rPr>
            </w:pPr>
          </w:p>
        </w:tc>
      </w:tr>
      <w:tr>
        <w:trPr>
          <w:trHeight w:val="176"/>
        </w:trPr>
        <w:tc>
          <w:tcPr>
            <w:tcW w:w="4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to IAC for settlement of equity awards held</w:t>
            </w: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employees</w:t>
            </w:r>
          </w:p>
        </w:tc>
        <w:tc>
          <w:tcPr>
            <w:tcW w:w="500" w:type="dxa"/>
            <w:vAlign w:val="bottom"/>
          </w:tcPr>
          <w:p>
            <w:pPr>
              <w:spacing w:after="0"/>
              <w:rPr>
                <w:sz w:val="21"/>
                <w:szCs w:val="21"/>
                <w:color w:val="auto"/>
              </w:rPr>
            </w:pPr>
          </w:p>
        </w:tc>
        <w:tc>
          <w:tcPr>
            <w:tcW w:w="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$ 1,541,811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(641,094)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888,157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Overview</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IAC today primarily comprises leading publisher People Inc. and its strategic equity positions in MGM Resorts International (“MGM”) and Turo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(“Turo”).</w:t>
      </w:r>
    </w:p>
    <w:p>
      <w:pPr>
        <w:spacing w:after="0" w:line="207"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As used herein, “IAC,” the “Company,” “we,” “our” or “us” and other similar terms refer to IAC Inc. and its subsidiaries (unless the context requires otherwise).</w:t>
      </w:r>
    </w:p>
    <w:p>
      <w:pPr>
        <w:spacing w:after="0" w:line="16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the Company’s operating businesses, see “Description of IAC Businesses” included in “Item 1—Business” to the Company’s Annual Report on Form 10-K for the year ended December 31, 2025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IAC Corporate Restructuring</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April 28, 2026, IAC announced it is changing its name to “People Incorporated” as it continues to sharpen its focus on its People Inc. business and its investment in MGM.</w:t>
      </w:r>
    </w:p>
    <w:p>
      <w:pPr>
        <w:spacing w:after="0" w:line="16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Ahead of its name change to “People Incorporated,” which is expected to occur in or before August 2026, the Company has initiated a plan to consolidate its corporate functions with those of People Inc. through a reduction in workforce, technology integrations and other cost-saving measures over the coming quarters (the “Plan”). The Plan is expected to be completed by the first quarter of 2027.</w:t>
      </w:r>
    </w:p>
    <w:p>
      <w:pPr>
        <w:spacing w:after="0" w:line="17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expects to incur approximately $14.0 million in severance and related expenses, of which $10.3 million was accrued at March 31, 2026 and is included in “General and administrative expense” in the statement of operations, $48.0 million in stock-based compensation expense and</w:t>
      </w:r>
    </w:p>
    <w:p>
      <w:pPr>
        <w:ind w:right="40"/>
        <w:spacing w:after="0" w:line="252" w:lineRule="auto"/>
        <w:rPr>
          <w:sz w:val="20"/>
          <w:szCs w:val="20"/>
          <w:color w:val="auto"/>
        </w:rPr>
      </w:pPr>
      <w:r>
        <w:rPr>
          <w:rFonts w:ascii="Times New Roman" w:cs="Times New Roman" w:eastAsia="Times New Roman" w:hAnsi="Times New Roman"/>
          <w:sz w:val="18"/>
          <w:szCs w:val="18"/>
          <w:color w:val="auto"/>
        </w:rPr>
        <w:t>$0.5 million to $1.0 million in other costs related to the Plan. The aforementioned stock-based compensation expense includes approximately $16.0 million of expense that accelerates based on the original terms of employee award agreements and $32.0 million of expense associated with awards that were modified to vest in connection with the Plan. The total costs expected to be incurred in connection with the Plan are approximately $63.0 million. The estimates of the charges and expenditures that the Company expects to incur in connection with the Plan, and the timing thereof, are subject to a number of assumptions and actual amounts may differ materially from these estimates. In addition, the Company may incur other charges or cash expenditures not currently contemplated due to unanticipated events that may occur in connection with the implementation of the Plan.</w:t>
      </w:r>
    </w:p>
    <w:p>
      <w:pPr>
        <w:spacing w:after="0" w:line="190"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As the Company moves away from its holding company structure and in connection with the Plan, Christopher Halpin will cease to serve as Executive Vice President, Chief Operating Officer and Chief Financial Officer of the Company, and Kendall Handler will cease to serve as Executive Vice President and Chief Legal Officer of the Company, in each case, effective on the filing of the Company’s Form 10-Q for the quarter ending June 30, 2026 or such earlier date on which the executive’s employment with the Company is terminated for any other reason (the “Separation Effective Date”). The Company expects that, upon the Separation Effective Date, Neil Vogel, who currently serves as Chief Executive Officer of People, will become Chief Executive Officer of the Company, and Tim Quinn, who currently serves as the Chief Financial Officer of People, will become Chief Financial Officer of the Company. Mr. Halpin and Ms. Handler have each entered into employment transition agreements with the Company, each dated April 27, 2026, pursuant to which each executive will continue to serve in their respective positions through the Separation Effective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 Inc. Change to Composition of Operating Segments</w:t>
      </w:r>
    </w:p>
    <w:p>
      <w:pPr>
        <w:spacing w:after="0" w:line="22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Effective January 1, 2026, People Inc. changed its internal management reporting structure to better align and support its D/Cipher advertising capabilities. As a result, the digital portion of a legacy agency business that had previously been included within the People Inc. Print segment now reports to the D/Cipher management team within the People Inc. Digital segment. This change allows D/Cipher to leverage the agency business as a sales channel and to achieve operational and performance efficiencies. As a result of this change, financial information for both the People Inc. Print and Digital segments for prior periods has been recast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Sale of Care.com</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March 16, 2026, IAC completed the sale of its wholly-owned subsidiary, Care.com, for net proceeds of $295.7 million. As a result of the transaction, the consolidated operations of Care.com are presented as discontinued operations within IAC’s consolidated financial statements for all periods prior to March 16, 2026.</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Angi Inc. Distribution</w:t>
      </w:r>
    </w:p>
    <w:p>
      <w:pPr>
        <w:spacing w:after="0" w:line="216" w:lineRule="exact"/>
        <w:rPr>
          <w:sz w:val="20"/>
          <w:szCs w:val="20"/>
          <w:color w:val="auto"/>
        </w:rPr>
      </w:pPr>
    </w:p>
    <w:p>
      <w:pPr>
        <w:ind w:right="20" w:firstLine="405"/>
        <w:spacing w:after="0" w:line="245" w:lineRule="auto"/>
        <w:rPr>
          <w:sz w:val="20"/>
          <w:szCs w:val="20"/>
          <w:color w:val="auto"/>
        </w:rPr>
      </w:pPr>
      <w:r>
        <w:rPr>
          <w:rFonts w:ascii="Times New Roman" w:cs="Times New Roman" w:eastAsia="Times New Roman" w:hAnsi="Times New Roman"/>
          <w:sz w:val="18"/>
          <w:szCs w:val="18"/>
          <w:color w:val="auto"/>
        </w:rPr>
        <w:t>On March 31, 2025, IAC completed the spin-off of Angi Inc. (“Angi”) by means of a special dividend (the “Distribution”) of all shares of Angi capital stock held by IAC to holders of its common stock and Class B common stock. Following the Distribution, IAC no longer owns any shares of Angi’s capital stock and Angi became an independent public company. As a result of the Distribution, the consolidated operations of Angi are presented as discontinued operations within IAC’s consolidated financial statements for all periods prior to March 31, 2025.</w:t>
      </w:r>
    </w:p>
    <w:p>
      <w:pPr>
        <w:spacing w:after="0" w:line="221"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12—Discontinued Operations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Statements</w:t>
      </w:r>
      <w:r>
        <w:rPr>
          <w:rFonts w:ascii="Times New Roman" w:cs="Times New Roman" w:eastAsia="Times New Roman" w:hAnsi="Times New Roman"/>
          <w:sz w:val="18"/>
          <w:szCs w:val="18"/>
          <w:color w:val="000000"/>
        </w:rPr>
        <w:t>”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Terms and Operating Metrics:</w:t>
      </w:r>
    </w:p>
    <w:p>
      <w:pPr>
        <w:spacing w:after="0" w:line="229"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Unless otherwise indicated or as the context otherwise requires, certain terms used in this quarterly report, which include the principal operating metrics we use in managing our business, are defined below:</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IAC Businesses </w:t>
      </w: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u w:val="single" w:color="auto"/>
          <w:color w:val="0000FF"/>
        </w:rPr>
        <w:t>Note 5—Segment Information</w:t>
      </w:r>
      <w:r>
        <w:rPr>
          <w:rFonts w:ascii="Times New Roman" w:cs="Times New Roman" w:eastAsia="Times New Roman" w:hAnsi="Times New Roman"/>
          <w:sz w:val="18"/>
          <w:szCs w:val="18"/>
          <w:color w:val="auto"/>
        </w:rPr>
        <w:t>” in the accompanying notes to the financial statements included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Item 1—Consolidated Financial Statements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340" w:right="340" w:hanging="251"/>
        <w:spacing w:after="0" w:line="259" w:lineRule="auto"/>
        <w:tabs>
          <w:tab w:leader="none" w:pos="33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People Inc. </w:t>
      </w:r>
      <w:r>
        <w:rPr>
          <w:rFonts w:ascii="Times New Roman" w:cs="Times New Roman" w:eastAsia="Times New Roman" w:hAnsi="Times New Roman"/>
          <w:sz w:val="18"/>
          <w:szCs w:val="18"/>
          <w:color w:val="auto"/>
        </w:rPr>
        <w:t>- one of the largest digital and print publishers in America and is committed to content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made by people for people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that delights,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teaches, inspires and entertains. More than 175 million people trust People Inc. each month to help them make decisions, take action, and find inspiration. People Inc.’s over 40 iconic brands include PEOPLE, Better Homes &amp; Gardens, Verywell, Food &amp; Wine, Travel + Leisure, Allrecipes, REAL SIMPLE, Investopedia and Southern Living. People Inc. has two operating segments: (i) Digital, which includes its digital, mobile and licensing operations; and (ii) Print, which includes its magazine subscription and newsstand operations;</w:t>
      </w:r>
    </w:p>
    <w:p>
      <w:pPr>
        <w:spacing w:after="0" w:line="179" w:lineRule="exact"/>
        <w:rPr>
          <w:rFonts w:ascii="Times New Roman" w:cs="Times New Roman" w:eastAsia="Times New Roman" w:hAnsi="Times New Roman"/>
          <w:sz w:val="18"/>
          <w:szCs w:val="18"/>
          <w:b w:val="1"/>
          <w:bCs w:val="1"/>
          <w:color w:val="auto"/>
        </w:rPr>
      </w:pPr>
    </w:p>
    <w:p>
      <w:pPr>
        <w:ind w:left="340" w:right="120" w:hanging="251"/>
        <w:spacing w:after="0" w:line="268" w:lineRule="auto"/>
        <w:tabs>
          <w:tab w:leader="none" w:pos="33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Search </w:t>
      </w:r>
      <w:r>
        <w:rPr>
          <w:rFonts w:ascii="Times New Roman" w:cs="Times New Roman" w:eastAsia="Times New Roman" w:hAnsi="Times New Roman"/>
          <w:sz w:val="18"/>
          <w:szCs w:val="18"/>
          <w:color w:val="auto"/>
        </w:rPr>
        <w:t>- consists of</w:t>
      </w:r>
      <w:r>
        <w:rPr>
          <w:rFonts w:ascii="Times New Roman" w:cs="Times New Roman" w:eastAsia="Times New Roman" w:hAnsi="Times New Roman"/>
          <w:sz w:val="18"/>
          <w:szCs w:val="18"/>
          <w:b w:val="1"/>
          <w:bCs w:val="1"/>
          <w:color w:val="auto"/>
        </w:rPr>
        <w:t xml:space="preserve"> Ask Media Group</w:t>
      </w:r>
      <w:r>
        <w:rPr>
          <w:rFonts w:ascii="Times New Roman" w:cs="Times New Roman" w:eastAsia="Times New Roman" w:hAnsi="Times New Roman"/>
          <w:sz w:val="18"/>
          <w:szCs w:val="18"/>
          <w:color w:val="auto"/>
        </w:rPr>
        <w:t>, a collection of websites providing general search services and information, and</w:t>
      </w:r>
      <w:r>
        <w:rPr>
          <w:rFonts w:ascii="Times New Roman" w:cs="Times New Roman" w:eastAsia="Times New Roman" w:hAnsi="Times New Roman"/>
          <w:sz w:val="18"/>
          <w:szCs w:val="18"/>
          <w:b w:val="1"/>
          <w:bCs w:val="1"/>
          <w:color w:val="auto"/>
        </w:rPr>
        <w:t xml:space="preserve"> Desktop, </w:t>
      </w:r>
      <w:r>
        <w:rPr>
          <w:rFonts w:ascii="Times New Roman" w:cs="Times New Roman" w:eastAsia="Times New Roman" w:hAnsi="Times New Roman"/>
          <w:sz w:val="18"/>
          <w:szCs w:val="18"/>
          <w:color w:val="auto"/>
        </w:rPr>
        <w:t>our legacy desktop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search software business, which includes our business-to-business partnership operations and the remaining installed base of our direct-to-consumer downloadable desktop applications; and</w:t>
      </w:r>
    </w:p>
    <w:p>
      <w:pPr>
        <w:spacing w:after="0" w:line="170" w:lineRule="exact"/>
        <w:rPr>
          <w:rFonts w:ascii="Times New Roman" w:cs="Times New Roman" w:eastAsia="Times New Roman" w:hAnsi="Times New Roman"/>
          <w:sz w:val="18"/>
          <w:szCs w:val="18"/>
          <w:b w:val="1"/>
          <w:bCs w:val="1"/>
          <w:color w:val="auto"/>
        </w:rPr>
      </w:pPr>
    </w:p>
    <w:p>
      <w:pPr>
        <w:ind w:left="320" w:hanging="231"/>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Emerging &amp; Other </w:t>
      </w:r>
      <w:r>
        <w:rPr>
          <w:rFonts w:ascii="Times New Roman" w:cs="Times New Roman" w:eastAsia="Times New Roman" w:hAnsi="Times New Roman"/>
          <w:sz w:val="18"/>
          <w:szCs w:val="18"/>
          <w:color w:val="auto"/>
        </w:rPr>
        <w:t>- consists of:</w:t>
      </w:r>
    </w:p>
    <w:p>
      <w:pPr>
        <w:spacing w:after="0" w:line="225" w:lineRule="exact"/>
        <w:rPr>
          <w:rFonts w:ascii="Times New Roman" w:cs="Times New Roman" w:eastAsia="Times New Roman" w:hAnsi="Times New Roman"/>
          <w:sz w:val="18"/>
          <w:szCs w:val="18"/>
          <w:b w:val="1"/>
          <w:bCs w:val="1"/>
          <w:color w:val="auto"/>
        </w:rPr>
      </w:pPr>
    </w:p>
    <w:p>
      <w:pPr>
        <w:ind w:left="660" w:hanging="24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Vivian Health</w:t>
      </w:r>
      <w:r>
        <w:rPr>
          <w:rFonts w:ascii="Times New Roman" w:cs="Times New Roman" w:eastAsia="Times New Roman" w:hAnsi="Times New Roman"/>
          <w:sz w:val="18"/>
          <w:szCs w:val="18"/>
          <w:color w:val="auto"/>
        </w:rPr>
        <w:t>, a platform to efficiently connect healthcare professionals with job opportunities; and</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Daily Beast and IAC Films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People Inc.</w:t>
      </w:r>
    </w:p>
    <w:p>
      <w:pPr>
        <w:spacing w:after="0" w:line="225" w:lineRule="exact"/>
        <w:rPr>
          <w:sz w:val="20"/>
          <w:szCs w:val="20"/>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Revenue - </w:t>
      </w:r>
      <w:r>
        <w:rPr>
          <w:rFonts w:ascii="Times New Roman" w:cs="Times New Roman" w:eastAsia="Times New Roman" w:hAnsi="Times New Roman"/>
          <w:sz w:val="18"/>
          <w:szCs w:val="18"/>
          <w:color w:val="auto"/>
        </w:rPr>
        <w:t>includes advertising revenue, performance marketing revenue and licensing and other revenue.</w:t>
      </w:r>
    </w:p>
    <w:p>
      <w:pPr>
        <w:spacing w:after="0" w:line="227" w:lineRule="exact"/>
        <w:rPr>
          <w:rFonts w:ascii="Times New Roman" w:cs="Times New Roman" w:eastAsia="Times New Roman" w:hAnsi="Times New Roman"/>
          <w:sz w:val="18"/>
          <w:szCs w:val="18"/>
          <w:color w:val="auto"/>
        </w:rPr>
      </w:pPr>
    </w:p>
    <w:p>
      <w:pPr>
        <w:ind w:left="1300" w:right="20" w:hanging="239"/>
        <w:spacing w:after="0" w:line="284" w:lineRule="auto"/>
        <w:tabs>
          <w:tab w:leader="none" w:pos="1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Advertising revenue </w:t>
      </w:r>
      <w:r>
        <w:rPr>
          <w:rFonts w:ascii="Times New Roman" w:cs="Times New Roman" w:eastAsia="Times New Roman" w:hAnsi="Times New Roman"/>
          <w:sz w:val="18"/>
          <w:szCs w:val="18"/>
          <w:color w:val="auto"/>
        </w:rPr>
        <w:t>- primarily includes revenue generated from digital advertisements and intent-based advertising targeting capabilities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(D/Cipher), which are sold directly to advertisers or through advertising agencies and programmatic advertising networks.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hanging="239"/>
        <w:spacing w:after="0" w:line="257"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marketing revenue </w:t>
      </w:r>
      <w:r>
        <w:rPr>
          <w:rFonts w:ascii="Times New Roman" w:cs="Times New Roman" w:eastAsia="Times New Roman" w:hAnsi="Times New Roman"/>
          <w:sz w:val="18"/>
          <w:szCs w:val="18"/>
          <w:color w:val="auto"/>
        </w:rPr>
        <w:t>- primarily includes commissions generated through affiliate commerce, performance marketing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affinity marketing channels. Affiliate commerce commission revenue is generated when People Inc.’s branded content refers consumers to commerce partner websites resulting in a purchase or transaction. Performance marketing services commission revenue is generated on a cost-per-click or cost-per-action basis. Affinity marketing programs are arrangements where People Inc. acts as an agent for both People Inc. and third-party publishers to market and place magazine subscriptions online for which commission revenue is earned when a subscriber name has been provided to the publisher.</w:t>
      </w:r>
    </w:p>
    <w:p>
      <w:pPr>
        <w:spacing w:after="0" w:line="182" w:lineRule="exact"/>
        <w:rPr>
          <w:rFonts w:ascii="Times New Roman" w:cs="Times New Roman" w:eastAsia="Times New Roman" w:hAnsi="Times New Roman"/>
          <w:sz w:val="18"/>
          <w:szCs w:val="18"/>
          <w:color w:val="auto"/>
        </w:rPr>
      </w:pPr>
    </w:p>
    <w:p>
      <w:pPr>
        <w:ind w:left="1300" w:right="140" w:hanging="239"/>
        <w:spacing w:after="0" w:line="261"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Licensing and Other revenue </w:t>
      </w:r>
      <w:r>
        <w:rPr>
          <w:rFonts w:ascii="Times New Roman" w:cs="Times New Roman" w:eastAsia="Times New Roman" w:hAnsi="Times New Roman"/>
          <w:sz w:val="18"/>
          <w:szCs w:val="18"/>
          <w:color w:val="auto"/>
        </w:rPr>
        <w:t>- primarily includes revenue generated through brand and content licensing and similar agreements.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licensing generates royalties from long-term trademark licensing agreements with retailers, service providers, publishers and manufacturers. Content licensing royalties are earned from our relationship with Apple News+ as well as other content use and distribution relationships, including utilization in large-language models and other artificial intelligence (“AI”) related activities.</w:t>
      </w:r>
    </w:p>
    <w:p>
      <w:pPr>
        <w:spacing w:after="0" w:line="177" w:lineRule="exact"/>
        <w:rPr>
          <w:rFonts w:ascii="Times New Roman" w:cs="Times New Roman" w:eastAsia="Times New Roman" w:hAnsi="Times New Roman"/>
          <w:sz w:val="18"/>
          <w:szCs w:val="18"/>
          <w:color w:val="auto"/>
        </w:rPr>
      </w:pPr>
    </w:p>
    <w:p>
      <w:pPr>
        <w:ind w:left="660" w:right="80" w:hanging="247"/>
        <w:spacing w:after="0" w:line="26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Print Revenue </w:t>
      </w:r>
      <w:r>
        <w:rPr>
          <w:rFonts w:ascii="Times New Roman" w:cs="Times New Roman" w:eastAsia="Times New Roman" w:hAnsi="Times New Roman"/>
          <w:sz w:val="18"/>
          <w:szCs w:val="18"/>
          <w:color w:val="auto"/>
        </w:rPr>
        <w:t>- primarily includes subscription, advertising, newsstand, project and other and performance marketing revenue. Project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primarily includes revenue from custom publishing. Performance marketing revenue includes revenue from marketing third-party magazine subscriptions.</w:t>
      </w:r>
    </w:p>
    <w:p>
      <w:pPr>
        <w:spacing w:after="0" w:line="170" w:lineRule="exact"/>
        <w:rPr>
          <w:rFonts w:ascii="Times New Roman" w:cs="Times New Roman" w:eastAsia="Times New Roman" w:hAnsi="Times New Roman"/>
          <w:sz w:val="18"/>
          <w:szCs w:val="18"/>
          <w:color w:val="auto"/>
        </w:rPr>
      </w:pPr>
    </w:p>
    <w:p>
      <w:pPr>
        <w:ind w:left="660" w:right="20" w:hanging="247"/>
        <w:spacing w:after="0" w:line="26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Session-based Revenue </w:t>
      </w:r>
      <w:r>
        <w:rPr>
          <w:rFonts w:ascii="Times New Roman" w:cs="Times New Roman" w:eastAsia="Times New Roman" w:hAnsi="Times New Roman"/>
          <w:sz w:val="18"/>
          <w:szCs w:val="18"/>
          <w:color w:val="auto"/>
        </w:rPr>
        <w:t>- represents revenue related to advertisements served or performance marketing referrals initiated during a session,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as a unique visit to a site that is part of People Inc.’s network. Session-based revenue includes Advertising and Performance marketing revenue earned from People Inc.’s owned and operated or affiliated sites.</w:t>
      </w:r>
    </w:p>
    <w:p>
      <w:pPr>
        <w:spacing w:after="0" w:line="170" w:lineRule="exact"/>
        <w:rPr>
          <w:rFonts w:ascii="Times New Roman" w:cs="Times New Roman" w:eastAsia="Times New Roman" w:hAnsi="Times New Roman"/>
          <w:sz w:val="18"/>
          <w:szCs w:val="18"/>
          <w:color w:val="auto"/>
        </w:rPr>
      </w:pPr>
    </w:p>
    <w:p>
      <w:pPr>
        <w:jc w:val="both"/>
        <w:ind w:left="660" w:right="200" w:hanging="247"/>
        <w:spacing w:after="0" w:line="26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Non-session-based Revenue </w:t>
      </w:r>
      <w:r>
        <w:rPr>
          <w:rFonts w:ascii="Times New Roman" w:cs="Times New Roman" w:eastAsia="Times New Roman" w:hAnsi="Times New Roman"/>
          <w:sz w:val="18"/>
          <w:szCs w:val="18"/>
          <w:color w:val="auto"/>
        </w:rPr>
        <w:t>- represents revenue not dependent upon a session and primarily includes Advertising and Performance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earned outside a session on People Inc.’s owned and operated or affiliated sites, such as D/Cipher+, native campaigns, social platforms, email and affinity marketing, and all Licensing and other revenue.</w:t>
      </w:r>
    </w:p>
    <w:p>
      <w:pPr>
        <w:spacing w:after="0" w:line="17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Total Sessions </w:t>
      </w:r>
      <w:r>
        <w:rPr>
          <w:rFonts w:ascii="Times New Roman" w:cs="Times New Roman" w:eastAsia="Times New Roman" w:hAnsi="Times New Roman"/>
          <w:sz w:val="18"/>
          <w:szCs w:val="18"/>
          <w:color w:val="auto"/>
        </w:rPr>
        <w:t>- represents unique visits to all sites that are part of People Inc.’s network.</w:t>
      </w:r>
    </w:p>
    <w:p>
      <w:pPr>
        <w:spacing w:after="0" w:line="225" w:lineRule="exact"/>
        <w:rPr>
          <w:rFonts w:ascii="Times New Roman" w:cs="Times New Roman" w:eastAsia="Times New Roman" w:hAnsi="Times New Roman"/>
          <w:sz w:val="18"/>
          <w:szCs w:val="18"/>
          <w:b w:val="1"/>
          <w:bCs w:val="1"/>
          <w:color w:val="auto"/>
        </w:rPr>
      </w:pPr>
    </w:p>
    <w:p>
      <w:pPr>
        <w:ind w:left="660" w:right="40" w:hanging="247"/>
        <w:spacing w:after="0" w:line="286" w:lineRule="auto"/>
        <w:tabs>
          <w:tab w:leader="none" w:pos="65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Core Sessions </w:t>
      </w:r>
      <w:r>
        <w:rPr>
          <w:rFonts w:ascii="Times New Roman" w:cs="Times New Roman" w:eastAsia="Times New Roman" w:hAnsi="Times New Roman"/>
          <w:sz w:val="18"/>
          <w:szCs w:val="18"/>
          <w:color w:val="auto"/>
        </w:rPr>
        <w:t>- represents a subset of Total Sessions that comprises unique visits to People Inc.’s most significant (in terms of investment)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operated sites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7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PEOPLE</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InStyle</w:t>
            </w:r>
          </w:p>
        </w:tc>
        <w:tc>
          <w:tcPr>
            <w:tcW w:w="31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Simply Recipes</w:t>
            </w:r>
          </w:p>
        </w:tc>
      </w:tr>
      <w:tr>
        <w:trPr>
          <w:trHeight w:val="229"/>
        </w:trPr>
        <w:tc>
          <w:tcPr>
            <w:tcW w:w="37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Allrecipes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Food &amp; Wine</w:t>
            </w:r>
          </w:p>
        </w:tc>
        <w:tc>
          <w:tcPr>
            <w:tcW w:w="3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Serious Eats</w:t>
            </w:r>
          </w:p>
        </w:tc>
      </w:tr>
      <w:tr>
        <w:trPr>
          <w:trHeight w:val="230"/>
        </w:trPr>
        <w:tc>
          <w:tcPr>
            <w:tcW w:w="37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Investopedia</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Martha Stewart</w:t>
            </w:r>
          </w:p>
        </w:tc>
        <w:tc>
          <w:tcPr>
            <w:tcW w:w="31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EatingWell</w:t>
            </w:r>
          </w:p>
        </w:tc>
      </w:tr>
      <w:tr>
        <w:trPr>
          <w:trHeight w:val="230"/>
        </w:trPr>
        <w:tc>
          <w:tcPr>
            <w:tcW w:w="37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Better Homes &amp; Gardens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Byrdie</w:t>
            </w:r>
          </w:p>
        </w:tc>
        <w:tc>
          <w:tcPr>
            <w:tcW w:w="3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Parents</w:t>
            </w:r>
          </w:p>
        </w:tc>
      </w:tr>
      <w:tr>
        <w:trPr>
          <w:trHeight w:val="230"/>
        </w:trPr>
        <w:tc>
          <w:tcPr>
            <w:tcW w:w="37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Verywell Health</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REAL SIMPLE</w:t>
            </w:r>
          </w:p>
        </w:tc>
        <w:tc>
          <w:tcPr>
            <w:tcW w:w="31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Verywell Mind</w:t>
            </w:r>
          </w:p>
        </w:tc>
      </w:tr>
      <w:tr>
        <w:trPr>
          <w:trHeight w:val="229"/>
        </w:trPr>
        <w:tc>
          <w:tcPr>
            <w:tcW w:w="37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The Spruce</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Southern Living</w:t>
            </w:r>
          </w:p>
        </w:tc>
        <w:tc>
          <w:tcPr>
            <w:tcW w:w="3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Health</w:t>
            </w:r>
          </w:p>
        </w:tc>
      </w:tr>
      <w:tr>
        <w:trPr>
          <w:trHeight w:val="230"/>
        </w:trPr>
        <w:tc>
          <w:tcPr>
            <w:tcW w:w="37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Travel + Leisure</w:t>
            </w:r>
          </w:p>
        </w:tc>
        <w:tc>
          <w:tcPr>
            <w:tcW w:w="31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225" w:lineRule="exact"/>
        <w:rPr>
          <w:sz w:val="20"/>
          <w:szCs w:val="20"/>
          <w:color w:val="auto"/>
        </w:rPr>
      </w:pPr>
    </w:p>
    <w:p>
      <w:pPr>
        <w:ind w:left="660" w:right="120" w:hanging="247"/>
        <w:spacing w:after="0" w:line="25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revenue (exclusive of depreciation) - </w:t>
      </w:r>
      <w:r>
        <w:rPr>
          <w:rFonts w:ascii="Times New Roman" w:cs="Times New Roman" w:eastAsia="Times New Roman" w:hAnsi="Times New Roman"/>
          <w:sz w:val="18"/>
          <w:szCs w:val="18"/>
          <w:color w:val="auto"/>
        </w:rPr>
        <w:t>consists primarily of compensation expense (including stock-based compensation expense)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employee-related costs; production, distribution and editorial costs of the People Inc. Print segment; traffic acquisition costs, which include payments made to partners that direct traffic to our Ask Media Group websites and who distribute our business-to-business customized browser-based applications; content costs; purchases of advertising inventory for advertising campaigns sold with People’s D/Cipher product; and hosting fees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Traffic acquisition costs include payment of amounts based on revenue share and other arrangements.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hanging="247"/>
        <w:spacing w:after="0" w:line="26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and marketing expense - </w:t>
      </w:r>
      <w:r>
        <w:rPr>
          <w:rFonts w:ascii="Times New Roman" w:cs="Times New Roman" w:eastAsia="Times New Roman" w:hAnsi="Times New Roman"/>
          <w:sz w:val="18"/>
          <w:szCs w:val="18"/>
          <w:color w:val="auto"/>
        </w:rPr>
        <w:t>consists primarily of advertising expenditures, which include online marketing expenditures, including fees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search engines, social media sites and other online marketing platforms; offline marketing expenditures, which primarily consists of costs related to direct mail and promotional events; compensation expense (including stock-based compensation expense) and other employee-related costs for sales force and marketing personnel; and subscription acquisition costs of the People Inc. Print segment.</w:t>
      </w:r>
    </w:p>
    <w:p>
      <w:pPr>
        <w:spacing w:after="0" w:line="176" w:lineRule="exact"/>
        <w:rPr>
          <w:rFonts w:ascii="Times New Roman" w:cs="Times New Roman" w:eastAsia="Times New Roman" w:hAnsi="Times New Roman"/>
          <w:sz w:val="18"/>
          <w:szCs w:val="18"/>
          <w:color w:val="auto"/>
        </w:rPr>
      </w:pPr>
    </w:p>
    <w:p>
      <w:pPr>
        <w:ind w:left="660" w:right="80" w:hanging="247"/>
        <w:spacing w:after="0" w:line="25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 - </w:t>
      </w:r>
      <w:r>
        <w:rPr>
          <w:rFonts w:ascii="Times New Roman" w:cs="Times New Roman" w:eastAsia="Times New Roman" w:hAnsi="Times New Roman"/>
          <w:sz w:val="18"/>
          <w:szCs w:val="18"/>
          <w:color w:val="auto"/>
        </w:rPr>
        <w:t>consists primarily of compensation expense (including stock-based compensation expense)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employee-related costs for personnel engaged in executive management, finance, legal, tax, human resources and customer service functions; rent expense (including impairments of right-of-use assets or “ROU assets” and gains or losses on the amendments or early terminations of lease agreements) and facilities cost; fees for professional services (including transaction-related costs related to the sale of Care.com, the Distribution and acquisitions); provision for credit losses; and software license and maintenance costs.</w:t>
      </w:r>
    </w:p>
    <w:p>
      <w:pPr>
        <w:spacing w:after="0" w:line="179" w:lineRule="exact"/>
        <w:rPr>
          <w:rFonts w:ascii="Times New Roman" w:cs="Times New Roman" w:eastAsia="Times New Roman" w:hAnsi="Times New Roman"/>
          <w:sz w:val="18"/>
          <w:szCs w:val="18"/>
          <w:color w:val="auto"/>
        </w:rPr>
      </w:pPr>
    </w:p>
    <w:p>
      <w:pPr>
        <w:ind w:left="660" w:right="80" w:hanging="247"/>
        <w:spacing w:after="0" w:line="26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development expense </w:t>
      </w:r>
      <w:r>
        <w:rPr>
          <w:rFonts w:ascii="Times New Roman" w:cs="Times New Roman" w:eastAsia="Times New Roman" w:hAnsi="Times New Roman"/>
          <w:sz w:val="18"/>
          <w:szCs w:val="18"/>
          <w:color w:val="auto"/>
        </w:rPr>
        <w:t>- consists primarily of compensation expense (including stock-based compensation expense) and other employee-related costs; and third-party contractor costs that are not capitalized for personnel engaged in the design, development, testing and enhancement of product offerings and related technology; and software license and maintenance costs.</w:t>
      </w:r>
    </w:p>
    <w:p>
      <w:pPr>
        <w:spacing w:after="0" w:line="171" w:lineRule="exact"/>
        <w:rPr>
          <w:sz w:val="20"/>
          <w:szCs w:val="20"/>
          <w:color w:val="auto"/>
        </w:rPr>
      </w:pPr>
    </w:p>
    <w:p>
      <w:pPr>
        <w:ind w:right="120" w:firstLine="16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Long-term debt - </w:t>
      </w:r>
      <w:r>
        <w:rPr>
          <w:rFonts w:ascii="Times New Roman" w:cs="Times New Roman" w:eastAsia="Times New Roman" w:hAnsi="Times New Roman"/>
          <w:sz w:val="18"/>
          <w:szCs w:val="18"/>
          <w:color w:val="auto"/>
        </w:rPr>
        <w:t>The Company’s long-term debt is solely the liability of People Inc. (For additional information see “</w:t>
      </w:r>
      <w:r>
        <w:rPr>
          <w:rFonts w:ascii="Times New Roman" w:cs="Times New Roman" w:eastAsia="Times New Roman" w:hAnsi="Times New Roman"/>
          <w:sz w:val="18"/>
          <w:szCs w:val="18"/>
          <w:u w:val="single" w:color="auto"/>
          <w:color w:val="0000FF"/>
        </w:rPr>
        <w:t>Note 3—Long-term Debt</w:t>
      </w:r>
      <w:r>
        <w:rPr>
          <w:rFonts w:ascii="Times New Roman" w:cs="Times New Roman" w:eastAsia="Times New Roman" w:hAnsi="Times New Roman"/>
          <w:sz w:val="18"/>
          <w:szCs w:val="18"/>
          <w:color w:val="auto"/>
        </w:rPr>
        <w: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accompanying notes to the financial statements included in “</w:t>
      </w:r>
      <w:r>
        <w:rPr>
          <w:rFonts w:ascii="Times New Roman" w:cs="Times New Roman" w:eastAsia="Times New Roman" w:hAnsi="Times New Roman"/>
          <w:sz w:val="18"/>
          <w:szCs w:val="18"/>
          <w:u w:val="single" w:color="auto"/>
          <w:color w:val="0000FF"/>
        </w:rPr>
        <w:t>Item 1—Consolidated Financial Statements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right="180" w:hanging="247"/>
        <w:spacing w:after="0" w:line="25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Loan A-1 </w:t>
      </w:r>
      <w:r>
        <w:rPr>
          <w:rFonts w:ascii="Times New Roman" w:cs="Times New Roman" w:eastAsia="Times New Roman" w:hAnsi="Times New Roman"/>
          <w:sz w:val="18"/>
          <w:szCs w:val="18"/>
          <w:color w:val="auto"/>
        </w:rPr>
        <w:t>- due May 14, 2030. On May 14, 2025, People Inc. entered into the Incremental Assumption Agreement and Amendment No.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Credit Agreement (“Amendment No. 2”), which replaced $288.8 million of the then outstanding Term Loan A with $350 million of the Term Loan A-1 and provided for a new five-year $150 million revolving credit facility (“Revolving Facility”). At March 31, 2026 and December 31, 2025, the outstanding balance of the Term Loan A-1 was $336.9 million and $341.3 million, respectively, and bore interest at secured overnight financing rate (“SOFR”) plus 2.00%, or 5.67% and 5.73%, respectively. The Term Loan A-1 requires quarterly principal payments, which commenced September 30, 2025, of $4.4 million through December 31, 2027, $8.8 million thereafter through December 31, 2028 and $13.1 million thereafter through maturity.</w:t>
      </w:r>
    </w:p>
    <w:p>
      <w:pPr>
        <w:spacing w:after="0" w:line="182" w:lineRule="exact"/>
        <w:rPr>
          <w:rFonts w:ascii="Times New Roman" w:cs="Times New Roman" w:eastAsia="Times New Roman" w:hAnsi="Times New Roman"/>
          <w:sz w:val="18"/>
          <w:szCs w:val="18"/>
          <w:color w:val="auto"/>
        </w:rPr>
      </w:pPr>
    </w:p>
    <w:p>
      <w:pPr>
        <w:ind w:left="660" w:right="140" w:hanging="247"/>
        <w:spacing w:after="0" w:line="25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Loan B-2 </w:t>
      </w:r>
      <w:r>
        <w:rPr>
          <w:rFonts w:ascii="Times New Roman" w:cs="Times New Roman" w:eastAsia="Times New Roman" w:hAnsi="Times New Roman"/>
          <w:sz w:val="18"/>
          <w:szCs w:val="18"/>
          <w:color w:val="auto"/>
        </w:rPr>
        <w:t>- due June 16, 2032. On June 16, 2025, People Inc. completed the refinancing and replacement of its then outstanding $1.18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Term Loan B-1 with a combination of $700 million of the Term Loan B-2 and $400 million of the 7.625% Senior Secured Notes due June 15, 2032 (“2032 Notes”). At March 31, 2026 and December 31, 2025, the outstanding balance of the Term Loan B-2 was $698.3 million and $700.0 million, respectively, and bore interest at SOFR, subject to a minimum of 0.50%, plus 3.50%, or 7.17% and 7.37%, respectively, as the applicable margin was unchanged under the governing agreements. The Term Loan B-2 requires quarterly principal payments of $1.8 million, which commenced March 31, 2026 through maturity.</w:t>
      </w:r>
    </w:p>
    <w:p>
      <w:pPr>
        <w:spacing w:after="0" w:line="18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A, Term Loan A-1, Term Loan B-1 and Term Loan B-2 are collectively referred to herein as the “Term Loans.”</w:t>
      </w:r>
    </w:p>
    <w:p>
      <w:pPr>
        <w:spacing w:after="0" w:line="22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2032 Notes </w:t>
      </w:r>
      <w:r>
        <w:rPr>
          <w:rFonts w:ascii="Times New Roman" w:cs="Times New Roman" w:eastAsia="Times New Roman" w:hAnsi="Times New Roman"/>
          <w:sz w:val="18"/>
          <w:szCs w:val="18"/>
          <w:color w:val="auto"/>
        </w:rPr>
        <w:t>- due June 15, 2032. At March 31, 2026 and December 31, 2025, the outstanding balance of the 2032 Notes was $400.0 million.</w:t>
      </w:r>
    </w:p>
    <w:p>
      <w:pPr>
        <w:spacing w:after="0" w:line="225" w:lineRule="exact"/>
        <w:rPr>
          <w:rFonts w:ascii="Times New Roman" w:cs="Times New Roman" w:eastAsia="Times New Roman" w:hAnsi="Times New Roman"/>
          <w:sz w:val="18"/>
          <w:szCs w:val="18"/>
          <w:color w:val="auto"/>
        </w:rPr>
      </w:pPr>
    </w:p>
    <w:p>
      <w:pPr>
        <w:ind w:left="660" w:right="80" w:hanging="247"/>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Revolving Facility </w:t>
      </w:r>
      <w:r>
        <w:rPr>
          <w:rFonts w:ascii="Times New Roman" w:cs="Times New Roman" w:eastAsia="Times New Roman" w:hAnsi="Times New Roman"/>
          <w:sz w:val="18"/>
          <w:szCs w:val="18"/>
          <w:color w:val="auto"/>
        </w:rPr>
        <w:t>- is a revolving credit facility of $150 million, which expires on May 14, 2030. To date, People Inc. has never borrowed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revolving credit facilities.</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5" w:lineRule="exact"/>
        <w:rPr>
          <w:sz w:val="20"/>
          <w:szCs w:val="20"/>
          <w:color w:val="auto"/>
        </w:rPr>
      </w:pPr>
    </w:p>
    <w:p>
      <w:pPr>
        <w:ind w:left="660" w:right="240" w:hanging="247"/>
        <w:spacing w:after="0" w:line="28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Earnings Before Interest, Taxes, Depreciation and Amortization (“Adjusted EBITDA”) </w:t>
      </w:r>
      <w:r>
        <w:rPr>
          <w:rFonts w:ascii="Times New Roman" w:cs="Times New Roman" w:eastAsia="Times New Roman" w:hAnsi="Times New Roman"/>
          <w:sz w:val="18"/>
          <w:szCs w:val="18"/>
          <w:color w:val="auto"/>
        </w:rPr>
        <w:t>- is a non-GAAP financial measure.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Principles of Financial Reporting</w:t>
      </w:r>
      <w:r>
        <w:rPr>
          <w:rFonts w:ascii="Times New Roman" w:cs="Times New Roman" w:eastAsia="Times New Roman" w:hAnsi="Times New Roman"/>
          <w:sz w:val="18"/>
          <w:szCs w:val="18"/>
          <w:color w:val="auto"/>
        </w:rPr>
        <w:t>” for the definition of Adjusted EBITDA and required non-GAAP reconciliations.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Agreement with Google and the Shutdown of the Search Segment</w:t>
      </w:r>
    </w:p>
    <w:p>
      <w:pPr>
        <w:spacing w:after="0" w:line="2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December 10, 2025, the Company received a notice of non-renewal (the “Notice”) from Google of the services agreement, dated October 26, 2015 and as subsequently amended (the “Services Agreement”). As a result of the Notice, the Services Agreement was due to expire on March 31, 2026; the Services Agreement was extended through April 30, 2026, at which point the Services Agreement expired. As a result, the Company ceased operations of its Search segment. The operations of the Search segment will be presented as discontinued operations within IAC’s financial statements in the second quarter of 2026 and prior periods will reflect Search as discontinued operations to conform to this presentation.</w:t>
      </w:r>
    </w:p>
    <w:p>
      <w:pPr>
        <w:spacing w:after="0" w:line="18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For both the three months ended March 31, 2026 and 2025, 99% of the revenue earned by the Search segment was earned pursuant to the Services Agreement. See “</w:t>
      </w:r>
      <w:r>
        <w:rPr>
          <w:rFonts w:ascii="Times New Roman" w:cs="Times New Roman" w:eastAsia="Times New Roman" w:hAnsi="Times New Roman"/>
          <w:sz w:val="18"/>
          <w:szCs w:val="18"/>
          <w:u w:val="single" w:color="auto"/>
          <w:color w:val="0000FF"/>
        </w:rPr>
        <w:t>Note 1—The Company and Summary of Significant Accounting Policies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1—Consolidated Financial Statements</w:t>
      </w:r>
      <w:r>
        <w:rPr>
          <w:rFonts w:ascii="Times New Roman" w:cs="Times New Roman" w:eastAsia="Times New Roman" w:hAnsi="Times New Roman"/>
          <w:sz w:val="18"/>
          <w:szCs w:val="18"/>
          <w:color w:val="auto"/>
        </w:rPr>
        <w:t>” for additional information on the Services Agreement.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Compared to the Three Months Ended March 31, 2025</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w:t>
      </w:r>
      <w:r>
        <w:rPr>
          <w:rFonts w:ascii="Times New Roman" w:cs="Times New Roman" w:eastAsia="Times New Roman" w:hAnsi="Times New Roman"/>
          <w:sz w:val="18"/>
          <w:szCs w:val="18"/>
          <w:u w:val="single" w:color="auto"/>
          <w:color w:val="0000FF"/>
        </w:rPr>
        <w:t>Item 1—Consolidated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5—Segment Information</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1—Consolidated Financial Statements</w:t>
      </w:r>
      <w:r>
        <w:rPr>
          <w:rFonts w:ascii="Times New Roman" w:cs="Times New Roman" w:eastAsia="Times New Roman" w:hAnsi="Times New Roman"/>
          <w:sz w:val="18"/>
          <w:szCs w:val="18"/>
          <w:color w:val="auto"/>
        </w:rPr>
        <w:t>” for revenue of the Company’s segments disaggregated by type of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00" w:type="dxa"/>
            <w:vAlign w:val="bottom"/>
            <w:gridSpan w:val="11"/>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6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380" w:type="dxa"/>
            <w:vAlign w:val="bottom"/>
            <w:tcBorders>
              <w:bottom w:val="single" w:sz="8" w:color="auto"/>
            </w:tcBorders>
            <w:gridSpan w:val="3"/>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2"/>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6"/>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Inc.</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234,520</w:t>
            </w:r>
          </w:p>
        </w:tc>
        <w:tc>
          <w:tcPr>
            <w:tcW w:w="10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ind w:right="293"/>
              <w:spacing w:after="0"/>
              <w:rPr>
                <w:sz w:val="20"/>
                <w:szCs w:val="20"/>
                <w:color w:val="auto"/>
              </w:rPr>
            </w:pPr>
            <w:r>
              <w:rPr>
                <w:rFonts w:ascii="Times New Roman" w:cs="Times New Roman" w:eastAsia="Times New Roman" w:hAnsi="Times New Roman"/>
                <w:sz w:val="18"/>
                <w:szCs w:val="18"/>
                <w:color w:val="auto"/>
                <w:w w:val="99"/>
              </w:rPr>
              <w:t>8%</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93"/>
              <w:spacing w:after="0"/>
              <w:rPr>
                <w:sz w:val="20"/>
                <w:szCs w:val="20"/>
                <w:color w:val="auto"/>
              </w:rPr>
            </w:pPr>
            <w:r>
              <w:rPr>
                <w:rFonts w:ascii="Times New Roman" w:cs="Times New Roman" w:eastAsia="Times New Roman" w:hAnsi="Times New Roman"/>
                <w:sz w:val="18"/>
                <w:szCs w:val="18"/>
                <w:color w:val="auto"/>
                <w:w w:val="97"/>
              </w:rPr>
              <w:t>(16)%</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ind w:right="293"/>
              <w:spacing w:after="0"/>
              <w:rPr>
                <w:sz w:val="20"/>
                <w:szCs w:val="20"/>
                <w:color w:val="auto"/>
              </w:rPr>
            </w:pPr>
            <w:r>
              <w:rPr>
                <w:rFonts w:ascii="Times New Roman" w:cs="Times New Roman" w:eastAsia="Times New Roman" w:hAnsi="Times New Roman"/>
                <w:sz w:val="18"/>
                <w:szCs w:val="18"/>
                <w:color w:val="auto"/>
                <w:w w:val="97"/>
              </w:rPr>
              <w:t>(13)%</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People Inc.</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393,071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93"/>
              <w:spacing w:after="0"/>
              <w:rPr>
                <w:sz w:val="20"/>
                <w:szCs w:val="20"/>
                <w:color w:val="auto"/>
              </w:rPr>
            </w:pPr>
            <w:r>
              <w:rPr>
                <w:rFonts w:ascii="Times New Roman" w:cs="Times New Roman" w:eastAsia="Times New Roman" w:hAnsi="Times New Roman"/>
                <w:sz w:val="18"/>
                <w:szCs w:val="18"/>
                <w:color w:val="auto"/>
                <w:w w:val="99"/>
              </w:rPr>
              <w:t>(2)%</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70,329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ind w:right="293"/>
              <w:spacing w:after="0"/>
              <w:rPr>
                <w:sz w:val="20"/>
                <w:szCs w:val="20"/>
                <w:color w:val="auto"/>
              </w:rPr>
            </w:pPr>
            <w:r>
              <w:rPr>
                <w:rFonts w:ascii="Times New Roman" w:cs="Times New Roman" w:eastAsia="Times New Roman" w:hAnsi="Times New Roman"/>
                <w:sz w:val="18"/>
                <w:szCs w:val="18"/>
                <w:color w:val="auto"/>
                <w:w w:val="97"/>
              </w:rPr>
              <w:t>(76)%</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93"/>
              <w:spacing w:after="0"/>
              <w:rPr>
                <w:sz w:val="20"/>
                <w:szCs w:val="20"/>
                <w:color w:val="auto"/>
              </w:rPr>
            </w:pPr>
            <w:r>
              <w:rPr>
                <w:rFonts w:ascii="Times New Roman" w:cs="Times New Roman" w:eastAsia="Times New Roman" w:hAnsi="Times New Roman"/>
                <w:sz w:val="18"/>
                <w:szCs w:val="18"/>
                <w:color w:val="auto"/>
                <w:w w:val="96"/>
              </w:rPr>
              <w:t>10%</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ind w:right="273"/>
              <w:spacing w:after="0"/>
              <w:rPr>
                <w:sz w:val="20"/>
                <w:szCs w:val="20"/>
                <w:color w:val="auto"/>
              </w:rPr>
            </w:pPr>
            <w:r>
              <w:rPr>
                <w:rFonts w:ascii="Times New Roman" w:cs="Times New Roman" w:eastAsia="Times New Roman" w:hAnsi="Times New Roman"/>
                <w:sz w:val="18"/>
                <w:szCs w:val="18"/>
                <w:color w:val="auto"/>
                <w:w w:val="99"/>
              </w:rPr>
              <w:t>(878)%</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481,686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293"/>
              <w:spacing w:after="0"/>
              <w:rPr>
                <w:sz w:val="20"/>
                <w:szCs w:val="20"/>
                <w:color w:val="auto"/>
              </w:rPr>
            </w:pPr>
            <w:r>
              <w:rPr>
                <w:rFonts w:ascii="Times New Roman" w:cs="Times New Roman" w:eastAsia="Times New Roman" w:hAnsi="Times New Roman"/>
                <w:sz w:val="18"/>
                <w:szCs w:val="18"/>
                <w:color w:val="auto"/>
                <w:w w:val="97"/>
              </w:rPr>
              <w:t>(12)%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760"/>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gridSpan w:val="11"/>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6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380" w:type="dxa"/>
            <w:vAlign w:val="bottom"/>
            <w:tcBorders>
              <w:bottom w:val="single" w:sz="8" w:color="auto"/>
            </w:tcBorders>
            <w:gridSpan w:val="3"/>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2"/>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6"/>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Session-based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93"/>
              <w:spacing w:after="0"/>
              <w:rPr>
                <w:sz w:val="20"/>
                <w:szCs w:val="20"/>
                <w:color w:val="auto"/>
              </w:rPr>
            </w:pPr>
            <w:r>
              <w:rPr>
                <w:rFonts w:ascii="Times New Roman" w:cs="Times New Roman" w:eastAsia="Times New Roman" w:hAnsi="Times New Roman"/>
                <w:sz w:val="18"/>
                <w:szCs w:val="18"/>
                <w:color w:val="auto"/>
                <w:w w:val="99"/>
              </w:rPr>
              <w:t>(1)%</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Non-session-based</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102,745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82,638</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ind w:right="293"/>
              <w:spacing w:after="0"/>
              <w:rPr>
                <w:sz w:val="20"/>
                <w:szCs w:val="20"/>
                <w:color w:val="auto"/>
              </w:rPr>
            </w:pPr>
            <w:r>
              <w:rPr>
                <w:rFonts w:ascii="Times New Roman" w:cs="Times New Roman" w:eastAsia="Times New Roman" w:hAnsi="Times New Roman"/>
                <w:sz w:val="18"/>
                <w:szCs w:val="18"/>
                <w:color w:val="auto"/>
                <w:w w:val="96"/>
              </w:rPr>
              <w:t>24%</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Digital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234,520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293"/>
              <w:spacing w:after="0"/>
              <w:rPr>
                <w:sz w:val="20"/>
                <w:szCs w:val="20"/>
                <w:color w:val="auto"/>
              </w:rPr>
            </w:pPr>
            <w:r>
              <w:rPr>
                <w:rFonts w:ascii="Times New Roman" w:cs="Times New Roman" w:eastAsia="Times New Roman" w:hAnsi="Times New Roman"/>
                <w:sz w:val="18"/>
                <w:szCs w:val="18"/>
                <w:color w:val="auto"/>
                <w:w w:val="99"/>
              </w:rPr>
              <w:t>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720"/>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metrics:</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 Inc.</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Sessions (in millions)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2,484</w:t>
            </w:r>
          </w:p>
        </w:tc>
        <w:tc>
          <w:tcPr>
            <w:tcW w:w="8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Core Sessions (in millions)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2,211</w:t>
            </w: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012"/>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right="260" w:hanging="251"/>
        <w:spacing w:after="0" w:line="282" w:lineRule="auto"/>
        <w:tabs>
          <w:tab w:leader="none" w:pos="336" w:val="left"/>
        </w:tabs>
        <w:numPr>
          <w:ilvl w:val="0"/>
          <w:numId w:val="1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People Inc. revenue decreased $7.3 million, or 2%, to $385.7 million, despite the increase of $18.1 million, or 8%, from Digital, net of intersegment eliminations, due to a decrease of $25.4 million, or 16%, from Print.</w:t>
      </w:r>
    </w:p>
    <w:p>
      <w:pPr>
        <w:spacing w:after="0" w:line="161" w:lineRule="exact"/>
        <w:rPr>
          <w:rFonts w:ascii="Times New Roman" w:cs="Times New Roman" w:eastAsia="Times New Roman" w:hAnsi="Times New Roman"/>
          <w:sz w:val="14"/>
          <w:szCs w:val="14"/>
          <w:b w:val="1"/>
          <w:bCs w:val="1"/>
          <w:i w:val="1"/>
          <w:iCs w:val="1"/>
          <w:color w:val="auto"/>
        </w:rPr>
      </w:pPr>
    </w:p>
    <w:p>
      <w:pPr>
        <w:ind w:left="980" w:right="20" w:hanging="243"/>
        <w:spacing w:after="0" w:line="253" w:lineRule="auto"/>
        <w:tabs>
          <w:tab w:leader="none" w:pos="97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increase was due primarily to increases of $8.3 million, or 26%, in Licensing and Other revenue, $8.2 million, or 16%, in Performance marketing revenue, net of intersegment eliminations, and $1.6 million, or 1%, in Advertising revenue. The increase in Licensing and Other revenue was due primarily to improved performance of Apple News+ and content syndication partners and the contribution from Meta, a content partnership which was signed in the fourth quarter of 2025. The increase in Performance marketing revenue was due primarily to an increase in affiliate commerce commission revenue due to higher transaction volumes and the achievement of volume-related retailer incentive programs, partially offset by a decrease in performance marketing service revenue primarily in the Finance category. The increase in Advertising revenue was due primarily to growth in direct-sold premium advertising in the Health and Pharmaceuticals, Home and Consumer Packaged Goods and Technology and Telecommunications categories as well as increased contribution from the D/Cipher+ advertising product and other Non-session-based revenue, partially offset by declines in premium programmatic volume. Additionally, open programmatic advertising revenue decreased due primarily to lower impression volumes driven by a 17% decline in Core Sessions, due primarily to the impact of the increasing prominence of Google AI Overviews on Google search sessions, partially offset by higher programmatic rates. The Company expects the increasing prominence of Google AI Overviews to continue to negatively impact Core Sessions and advertising revenue.</w:t>
      </w:r>
    </w:p>
    <w:p>
      <w:pPr>
        <w:spacing w:after="0" w:line="187" w:lineRule="exact"/>
        <w:rPr>
          <w:rFonts w:ascii="Times New Roman" w:cs="Times New Roman" w:eastAsia="Times New Roman" w:hAnsi="Times New Roman"/>
          <w:sz w:val="18"/>
          <w:szCs w:val="18"/>
          <w:color w:val="auto"/>
        </w:rPr>
      </w:pPr>
    </w:p>
    <w:p>
      <w:pPr>
        <w:ind w:left="980" w:right="60" w:hanging="243"/>
        <w:spacing w:after="0" w:line="256" w:lineRule="auto"/>
        <w:tabs>
          <w:tab w:leader="none" w:pos="97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decrease was due primarily to decreases of $12.9 million, or 17%, in subscription revenue, $7.6 million, or 20%, in advertising revenue, $2.5 million, or 16%, in project and other revenue and $2.2 million, or 27%, in performance marketing revenue. The decreases in subscription revenue, advertising revenue, and performance marketing revenue are all due, in part, to ongoing portfolio optimization changes that resulted in a reduction in the number of issues sold in the current year compared to the prior year and the ongoing and continuing broader migration of audience from print to digital platforms. The decrease in project and other revenue was due primarily to fewer project-related contracts compared to the prior year.</w:t>
      </w:r>
    </w:p>
    <w:p>
      <w:pPr>
        <w:spacing w:after="0" w:line="187" w:lineRule="exact"/>
        <w:rPr>
          <w:rFonts w:ascii="Times New Roman" w:cs="Times New Roman" w:eastAsia="Times New Roman" w:hAnsi="Times New Roman"/>
          <w:sz w:val="18"/>
          <w:szCs w:val="18"/>
          <w:color w:val="auto"/>
        </w:rPr>
      </w:pPr>
    </w:p>
    <w:p>
      <w:pPr>
        <w:ind w:left="340" w:right="140" w:hanging="251"/>
        <w:spacing w:after="0" w:line="261"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revenue decreased $53.2 million, or 76%, to $17.1 million due to decreases of $46.4 million, or 80%, from Ask Media Group due primarily to frequent Google algorithm changes and policy updates, as well as the revised terms of the Services Agreement that became effective April 2025, resulting in a reduction in marketing through affiliate partners, which drove fewer visitors to our ad-supported search and content websites, and $6.8 million, or 54%, from Desktop due primarily to continued decline in search queries.</w:t>
      </w:r>
    </w:p>
    <w:p>
      <w:pPr>
        <w:spacing w:after="0" w:line="179" w:lineRule="exact"/>
        <w:rPr>
          <w:rFonts w:ascii="Times New Roman" w:cs="Times New Roman" w:eastAsia="Times New Roman" w:hAnsi="Times New Roman"/>
          <w:sz w:val="18"/>
          <w:szCs w:val="18"/>
          <w:color w:val="auto"/>
        </w:rPr>
      </w:pPr>
    </w:p>
    <w:p>
      <w:pPr>
        <w:ind w:left="340" w:right="140" w:hanging="251"/>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&amp; Other revenue increased $1.8 million, or 10%, to $20.1 million due primarily to increases of $2.3 million, or 36%, from The Daily Beast and $0.9 million, or 8%, from Vivian Health, partially offset by a decrease in revenue of $1.3 million, or 74%, from IAC Films.</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shown separately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60" w:type="dxa"/>
            <w:vAlign w:val="bottom"/>
            <w:tcBorders>
              <w:bottom w:val="single" w:sz="8" w:color="auto"/>
            </w:tcBorders>
          </w:tcPr>
          <w:p>
            <w:pPr>
              <w:spacing w:after="0"/>
              <w:rPr>
                <w:sz w:val="16"/>
                <w:szCs w:val="16"/>
                <w:color w:val="auto"/>
              </w:rPr>
            </w:pPr>
          </w:p>
        </w:tc>
      </w:tr>
      <w:tr>
        <w:trPr>
          <w:trHeight w:val="196"/>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40" w:type="dxa"/>
            <w:vAlign w:val="bottom"/>
            <w:tcBorders>
              <w:top w:val="single" w:sz="8" w:color="auto"/>
            </w:tcBorders>
            <w:gridSpan w:val="2"/>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shown separately below)</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20" w:type="dxa"/>
            <w:vAlign w:val="bottom"/>
          </w:tcPr>
          <w:p>
            <w:pPr>
              <w:spacing w:after="0"/>
              <w:rPr>
                <w:sz w:val="20"/>
                <w:szCs w:val="20"/>
                <w:color w:val="auto"/>
              </w:rPr>
            </w:pPr>
          </w:p>
        </w:tc>
        <w:tc>
          <w:tcPr>
            <w:tcW w:w="110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6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revenue in 2026 decreased from 2025 due primarily to decreases of $23.4 million from Search and $5.1 million from People Inc.</w:t>
      </w:r>
    </w:p>
    <w:p>
      <w:pPr>
        <w:spacing w:after="0" w:line="225" w:lineRule="exact"/>
        <w:rPr>
          <w:sz w:val="20"/>
          <w:szCs w:val="20"/>
          <w:color w:val="auto"/>
        </w:rPr>
      </w:pPr>
    </w:p>
    <w:p>
      <w:pPr>
        <w:ind w:left="340" w:right="100" w:hanging="251"/>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 decrease was due primarily to a decrease in traffic acquisition costs of $24.0 million following a decrease in revenue and the proportion of revenue earned from affiliate partners who direct traffic to our websites.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right="240" w:hanging="251"/>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People Inc. decrease was due primarily to a decrease of $6.0 million from Print due primarily to a decrease of $6.8 million in production and distribution costs (postage, paper, printing and editorial) resulting from the planned reduction in the number of printed copies of certain publications and a corresponding reduction in the consumption of paper.</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60" w:type="dxa"/>
            <w:vAlign w:val="bottom"/>
            <w:tcBorders>
              <w:bottom w:val="single" w:sz="8" w:color="auto"/>
            </w:tcBorders>
          </w:tcPr>
          <w:p>
            <w:pPr>
              <w:spacing w:after="0"/>
              <w:rPr>
                <w:sz w:val="16"/>
                <w:szCs w:val="16"/>
                <w:color w:val="auto"/>
              </w:rPr>
            </w:pPr>
          </w:p>
        </w:tc>
      </w:tr>
      <w:tr>
        <w:trPr>
          <w:trHeight w:val="196"/>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40" w:type="dxa"/>
            <w:vAlign w:val="bottom"/>
            <w:tcBorders>
              <w:top w:val="single" w:sz="8" w:color="auto"/>
            </w:tcBorders>
            <w:gridSpan w:val="2"/>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157,369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20" w:type="dxa"/>
            <w:vAlign w:val="bottom"/>
          </w:tcPr>
          <w:p>
            <w:pPr>
              <w:spacing w:after="0"/>
              <w:rPr>
                <w:sz w:val="20"/>
                <w:szCs w:val="20"/>
                <w:color w:val="auto"/>
              </w:rPr>
            </w:pPr>
          </w:p>
        </w:tc>
        <w:tc>
          <w:tcPr>
            <w:tcW w:w="110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81"/>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marketing expense in 2026 decreased from 2025 due to decreases of $20.8 million from Search and $3.7 million from People Inc.</w:t>
      </w:r>
    </w:p>
    <w:p>
      <w:pPr>
        <w:spacing w:after="0" w:line="225" w:lineRule="exact"/>
        <w:rPr>
          <w:sz w:val="20"/>
          <w:szCs w:val="20"/>
          <w:color w:val="auto"/>
        </w:rPr>
      </w:pPr>
    </w:p>
    <w:p>
      <w:pPr>
        <w:ind w:left="340" w:right="120" w:hanging="251"/>
        <w:spacing w:after="0" w:line="261"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 decrease was due primarily to a decrease of $22.1 million in online marketing spend as Search reduced its marketing efforts due primarily to frequent Google algorithm changes and policy updates, partially offset by $1.5 million in severance and related expenses resulting from the anticipated shutdown of the Search segment in the second quarter of 2026. See “Services Agreement with Google and the Shutdown of the Search Segment” above for further discussion.</w:t>
      </w:r>
    </w:p>
    <w:p>
      <w:pPr>
        <w:spacing w:after="0" w:line="179" w:lineRule="exact"/>
        <w:rPr>
          <w:rFonts w:ascii="Times New Roman" w:cs="Times New Roman" w:eastAsia="Times New Roman" w:hAnsi="Times New Roman"/>
          <w:sz w:val="18"/>
          <w:szCs w:val="18"/>
          <w:color w:val="auto"/>
        </w:rPr>
      </w:pPr>
    </w:p>
    <w:p>
      <w:pPr>
        <w:ind w:left="340" w:right="160" w:hanging="251"/>
        <w:spacing w:after="0" w:line="282"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People Inc. decrease was due primarily to a decrease of $12.0 million from Print, net of intersegment eliminations, partially offset by an increase of $8.4 million from Digital.</w:t>
      </w:r>
    </w:p>
    <w:p>
      <w:pPr>
        <w:spacing w:after="0" w:line="161" w:lineRule="exact"/>
        <w:rPr>
          <w:rFonts w:ascii="Times New Roman" w:cs="Times New Roman" w:eastAsia="Times New Roman" w:hAnsi="Times New Roman"/>
          <w:sz w:val="18"/>
          <w:szCs w:val="18"/>
          <w:color w:val="auto"/>
        </w:rPr>
      </w:pPr>
    </w:p>
    <w:p>
      <w:pPr>
        <w:ind w:left="980" w:right="200" w:hanging="243"/>
        <w:spacing w:after="0" w:line="282" w:lineRule="auto"/>
        <w:tabs>
          <w:tab w:leader="none" w:pos="9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decrease was due primarily to a decrease of $10.4 million in subscription acquisition costs due primarily to the on-going portfolio optimization changes that reduced the number of issues produced compared to the prior year.</w:t>
      </w:r>
    </w:p>
    <w:p>
      <w:pPr>
        <w:spacing w:after="0" w:line="161" w:lineRule="exact"/>
        <w:rPr>
          <w:rFonts w:ascii="Times New Roman" w:cs="Times New Roman" w:eastAsia="Times New Roman" w:hAnsi="Times New Roman"/>
          <w:sz w:val="18"/>
          <w:szCs w:val="18"/>
          <w:color w:val="auto"/>
        </w:rPr>
      </w:pPr>
    </w:p>
    <w:p>
      <w:pPr>
        <w:ind w:left="980" w:right="100" w:hanging="243"/>
        <w:spacing w:after="0" w:line="266" w:lineRule="auto"/>
        <w:tabs>
          <w:tab w:leader="none" w:pos="9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increase was due primarily to an increase of $7.5 million in advertising and events production expense resulting from an increase in online marketing spend due primarily to an increase in paid affiliate commerce commission revenue and a new initiative to improve sales channels.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60" w:type="dxa"/>
            <w:vAlign w:val="bottom"/>
            <w:tcBorders>
              <w:bottom w:val="single" w:sz="8" w:color="auto"/>
            </w:tcBorders>
          </w:tcPr>
          <w:p>
            <w:pPr>
              <w:spacing w:after="0"/>
              <w:rPr>
                <w:sz w:val="16"/>
                <w:szCs w:val="16"/>
                <w:color w:val="auto"/>
              </w:rPr>
            </w:pPr>
          </w:p>
        </w:tc>
      </w:tr>
      <w:tr>
        <w:trPr>
          <w:trHeight w:val="196"/>
        </w:trPr>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43,477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60,630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20" w:type="dxa"/>
            <w:vAlign w:val="bottom"/>
          </w:tcPr>
          <w:p>
            <w:pPr>
              <w:spacing w:after="0"/>
              <w:rPr>
                <w:sz w:val="20"/>
                <w:szCs w:val="20"/>
                <w:color w:val="auto"/>
              </w:rPr>
            </w:pP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52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7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 2026 increased from 2025 due primarily to increases of $39.5 million from People Inc. and $28.0 million from Corporate, partially offset by a decrease of $6.4 million from Emerging &amp; Other.</w:t>
      </w:r>
    </w:p>
    <w:p>
      <w:pPr>
        <w:spacing w:after="0" w:line="162" w:lineRule="exact"/>
        <w:rPr>
          <w:sz w:val="20"/>
          <w:szCs w:val="20"/>
          <w:color w:val="auto"/>
        </w:rPr>
      </w:pPr>
    </w:p>
    <w:p>
      <w:pPr>
        <w:ind w:left="320" w:hanging="231"/>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People Inc. increase was at Other (unallocated corporate costs) and was due primarily to the inclusion in the prior year of a net gain of</w:t>
      </w:r>
    </w:p>
    <w:p>
      <w:pPr>
        <w:spacing w:after="0" w:line="27" w:lineRule="exact"/>
        <w:rPr>
          <w:rFonts w:ascii="Times New Roman" w:cs="Times New Roman" w:eastAsia="Times New Roman" w:hAnsi="Times New Roman"/>
          <w:sz w:val="18"/>
          <w:szCs w:val="18"/>
          <w:color w:val="auto"/>
        </w:rPr>
      </w:pPr>
    </w:p>
    <w:p>
      <w:pPr>
        <w:ind w:left="340"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$36.2 million resulting from the amendment of a lease, which provided for the surrender of certain office space early, an increase of $2.3 million in stock-based compensation expense due primarily to an increase in awards granted subsequent to the first quarter of 2025 and $2.1 million of costs in 2026 related to the antitrust litigation against Google.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hanging="251"/>
        <w:spacing w:after="0" w:line="253"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increase was due primarily to increases in compensation expense of $25.6 million and legal fees of $3.7 million and $2.2 million in transaction-related costs related to the sale of Care.com on March 16, 2026, partially offset by $4.8 million in transaction-related costs in the prior year related to the Distribution. The increase in compensation expense was due primarily to increases in stock-based compensation expense of $33.6 million and $8.6 million in severance and related expense, partially offset by $14.5 million in separation benefits in the prior year to our former Chief Executive Officer’s (“CEO”) under his employment transition agreement (the “Employment Transition Agreement”). The increase in stock-based compensation expense is due primarily to the reversal of in the prior year of $49.8 million of previously recognized expense related to the forfeiture of our former CEO’s restricted stock award, which was forfeited on January 13, 2025, partially offset by $14.9 million of stock-based compensation expense related to the transfer of 5.0 million Class B shares of Angi held by the Company to our former CEO prior to the Distribution pursuant to the Employment Transition Agreement. The increase in severance and related expense is due to a reduction in workforce as the Company consolidates its corporate functions with those of People Inc. See “IAC Corporate Restructuring” above for additional information on the reduction in workforce.</w:t>
      </w:r>
    </w:p>
    <w:p>
      <w:pPr>
        <w:spacing w:after="0" w:line="194" w:lineRule="exact"/>
        <w:rPr>
          <w:rFonts w:ascii="Times New Roman" w:cs="Times New Roman" w:eastAsia="Times New Roman" w:hAnsi="Times New Roman"/>
          <w:sz w:val="18"/>
          <w:szCs w:val="18"/>
          <w:color w:val="auto"/>
        </w:rPr>
      </w:pPr>
    </w:p>
    <w:p>
      <w:pPr>
        <w:ind w:left="340" w:right="340" w:hanging="251"/>
        <w:spacing w:after="0" w:line="282"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&amp; Other decrease was due primarily to the inclusion in the prior year of $5.9 million in legal fees for litigation that concluded in the third quarter of 2025 related to a legacy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60" w:type="dxa"/>
            <w:vAlign w:val="bottom"/>
            <w:tcBorders>
              <w:bottom w:val="single" w:sz="8" w:color="auto"/>
            </w:tcBorders>
          </w:tcPr>
          <w:p>
            <w:pPr>
              <w:spacing w:after="0"/>
              <w:rPr>
                <w:sz w:val="16"/>
                <w:szCs w:val="16"/>
                <w:color w:val="auto"/>
              </w:rPr>
            </w:pPr>
          </w:p>
        </w:tc>
      </w:tr>
      <w:tr>
        <w:trPr>
          <w:trHeight w:val="196"/>
        </w:trPr>
        <w:tc>
          <w:tcPr>
            <w:tcW w:w="5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96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3,953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40" w:type="dxa"/>
            <w:vAlign w:val="bottom"/>
          </w:tcPr>
          <w:p>
            <w:pPr>
              <w:spacing w:after="0"/>
              <w:rPr>
                <w:sz w:val="20"/>
                <w:szCs w:val="20"/>
                <w:color w:val="auto"/>
              </w:rPr>
            </w:pPr>
          </w:p>
        </w:tc>
        <w:tc>
          <w:tcPr>
            <w:tcW w:w="108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development expense in 2026 increased from 2025 due primarily to increases of $2.6 million from Search and $1.9 million from People Inc.</w:t>
      </w:r>
    </w:p>
    <w:p>
      <w:pPr>
        <w:spacing w:after="0" w:line="225" w:lineRule="exact"/>
        <w:rPr>
          <w:sz w:val="20"/>
          <w:szCs w:val="20"/>
          <w:color w:val="auto"/>
        </w:rPr>
      </w:pPr>
    </w:p>
    <w:p>
      <w:pPr>
        <w:ind w:left="340" w:hanging="251"/>
        <w:spacing w:after="0" w:line="261"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 increase was due primarily to increases in compensation expense of $1.7 million and software maintenance of $1.1 million. The increase in compensation expense was due primarily to $2.0 million in severance and related expenses and the increase in software maintenance was due primarily to the write-off of $1.4 million in certain prepaid vendor contracts, both resulting from the anticipated shutdown of the Search segment in the second quarter of 2026.</w:t>
      </w:r>
    </w:p>
    <w:p>
      <w:pPr>
        <w:spacing w:after="0" w:line="179" w:lineRule="exact"/>
        <w:rPr>
          <w:rFonts w:ascii="Times New Roman" w:cs="Times New Roman" w:eastAsia="Times New Roman" w:hAnsi="Times New Roman"/>
          <w:sz w:val="18"/>
          <w:szCs w:val="18"/>
          <w:color w:val="auto"/>
        </w:rPr>
      </w:pPr>
    </w:p>
    <w:p>
      <w:pPr>
        <w:ind w:left="340" w:right="440" w:hanging="251"/>
        <w:spacing w:after="0" w:line="282"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People Inc. increase was due primarily to an increase of $2.2 million from Digital due primarily to increases in software maintenance of $1.1 million related to AI service costs and $0.9 million in compensation expense due primarily to an increase in payroll-related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60" w:type="dxa"/>
            <w:vAlign w:val="bottom"/>
            <w:tcBorders>
              <w:bottom w:val="single" w:sz="8" w:color="auto"/>
            </w:tcBorders>
          </w:tcPr>
          <w:p>
            <w:pPr>
              <w:spacing w:after="0"/>
              <w:rPr>
                <w:sz w:val="16"/>
                <w:szCs w:val="16"/>
                <w:color w:val="auto"/>
              </w:rPr>
            </w:pPr>
          </w:p>
        </w:tc>
      </w:tr>
      <w:tr>
        <w:trPr>
          <w:trHeight w:val="196"/>
        </w:trPr>
        <w:tc>
          <w:tcPr>
            <w:tcW w:w="5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40" w:type="dxa"/>
            <w:vAlign w:val="bottom"/>
            <w:tcBorders>
              <w:top w:val="single" w:sz="8" w:color="auto"/>
            </w:tcBorders>
            <w:gridSpan w:val="2"/>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40" w:type="dxa"/>
            <w:vAlign w:val="bottom"/>
          </w:tcPr>
          <w:p>
            <w:pPr>
              <w:spacing w:after="0"/>
              <w:rPr>
                <w:sz w:val="20"/>
                <w:szCs w:val="20"/>
                <w:color w:val="auto"/>
              </w:rPr>
            </w:pPr>
          </w:p>
        </w:tc>
        <w:tc>
          <w:tcPr>
            <w:tcW w:w="108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7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Depreciation in 2026 decreased from 2025 due primarily to a decrease of $3.8 million at People Inc. resulting from accelerated depreciation expense recognized in 2025 on certain leasehold improvements in connection with a lease amendment to surrender certain unoccupied office space.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90"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80" w:type="dxa"/>
            <w:vAlign w:val="bottom"/>
          </w:tcPr>
          <w:p>
            <w:pPr>
              <w:spacing w:after="0"/>
              <w:rPr>
                <w:sz w:val="16"/>
                <w:szCs w:val="16"/>
                <w:color w:val="auto"/>
              </w:rPr>
            </w:pPr>
          </w:p>
        </w:tc>
      </w:tr>
      <w:tr>
        <w:trPr>
          <w:trHeight w:val="2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80" w:type="dxa"/>
            <w:vAlign w:val="bottom"/>
            <w:tcBorders>
              <w:bottom w:val="single" w:sz="8" w:color="auto"/>
            </w:tcBorders>
          </w:tcPr>
          <w:p>
            <w:pPr>
              <w:spacing w:after="0"/>
              <w:rPr>
                <w:sz w:val="16"/>
                <w:szCs w:val="16"/>
                <w:color w:val="auto"/>
              </w:rPr>
            </w:pPr>
          </w:p>
        </w:tc>
      </w:tr>
      <w:tr>
        <w:trPr>
          <w:trHeight w:val="196"/>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40" w:type="dxa"/>
            <w:vAlign w:val="bottom"/>
            <w:tcBorders>
              <w:top w:val="single" w:sz="8" w:color="auto"/>
            </w:tcBorders>
            <w:gridSpan w:val="2"/>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20" w:type="dxa"/>
            <w:vAlign w:val="bottom"/>
          </w:tcPr>
          <w:p>
            <w:pPr>
              <w:spacing w:after="0"/>
              <w:rPr>
                <w:sz w:val="20"/>
                <w:szCs w:val="20"/>
                <w:color w:val="auto"/>
              </w:rPr>
            </w:pPr>
          </w:p>
        </w:tc>
        <w:tc>
          <w:tcPr>
            <w:tcW w:w="10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52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Amortization of intangibles in 2026 decreased from 2025 at People Inc. due primarily to the accelerated amortization of certain usage-based intangible assets and lower expense due to certain intangible assets that became fully amortized in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40" w:type="dxa"/>
            <w:vAlign w:val="bottom"/>
            <w:tcBorders>
              <w:top w:val="single" w:sz="8" w:color="auto"/>
            </w:tcBorders>
            <w:gridSpan w:val="2"/>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Inc.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6"/>
              </w:rPr>
              <w:t>56%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92"/>
              <w:spacing w:after="0"/>
              <w:rPr>
                <w:sz w:val="20"/>
                <w:szCs w:val="20"/>
                <w:color w:val="auto"/>
              </w:rPr>
            </w:pPr>
            <w:r>
              <w:rPr>
                <w:rFonts w:ascii="Times New Roman" w:cs="Times New Roman" w:eastAsia="Times New Roman" w:hAnsi="Times New Roman"/>
                <w:sz w:val="18"/>
                <w:szCs w:val="18"/>
                <w:color w:val="auto"/>
                <w:w w:val="97"/>
              </w:rPr>
              <w:t>(80)%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ind w:right="292"/>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People Inc.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92"/>
              <w:spacing w:after="0"/>
              <w:rPr>
                <w:sz w:val="20"/>
                <w:szCs w:val="20"/>
                <w:color w:val="auto"/>
              </w:rPr>
            </w:pPr>
            <w:r>
              <w:rPr>
                <w:rFonts w:ascii="Times New Roman" w:cs="Times New Roman" w:eastAsia="Times New Roman" w:hAnsi="Times New Roman"/>
                <w:sz w:val="18"/>
                <w:szCs w:val="18"/>
                <w:color w:val="auto"/>
                <w:w w:val="97"/>
              </w:rPr>
              <w:t>(76)%</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92"/>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ind w:right="272"/>
              <w:spacing w:after="0"/>
              <w:rPr>
                <w:sz w:val="20"/>
                <w:szCs w:val="20"/>
                <w:color w:val="auto"/>
              </w:rPr>
            </w:pPr>
            <w:r>
              <w:rPr>
                <w:rFonts w:ascii="Times New Roman" w:cs="Times New Roman" w:eastAsia="Times New Roman" w:hAnsi="Times New Roman"/>
                <w:sz w:val="18"/>
                <w:szCs w:val="18"/>
                <w:color w:val="auto"/>
                <w:w w:val="99"/>
              </w:rPr>
              <w:t>(162)%</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292"/>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20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operating loss in 2026 of $40.1 million compares to income of $24.1 million in 2025, representing a $64.2 million decline, due primarily to an increase of $37.8 million in stock-based compensation expense and a decrease of $33.7 million in Adjusted EBITDA, described below, partially offset by decreases of $3.9 million in depreciation and $3.4 million in amortization of intangibles, described above. The increase in stock-based compensation expense was due primarily to the inclusion of the reversal of $49.8 million of previously recognized expense in the prior year related to the forfeiture of our former CEO’s restricted stock award, partially offset by $14.9 million of stock-based compensation expense related to the transfer of 5.0 million Class B shares of Angi held by the Company to our former CEO, as described above under “General and administrative expense.”</w:t>
      </w:r>
    </w:p>
    <w:p>
      <w:pPr>
        <w:spacing w:after="0" w:line="187" w:lineRule="exact"/>
        <w:rPr>
          <w:sz w:val="20"/>
          <w:szCs w:val="20"/>
          <w:color w:val="auto"/>
        </w:rPr>
      </w:pPr>
    </w:p>
    <w:p>
      <w:pPr>
        <w:ind w:left="80" w:right="100" w:firstLine="243"/>
        <w:spacing w:after="0" w:line="282" w:lineRule="auto"/>
        <w:rPr>
          <w:sz w:val="20"/>
          <w:szCs w:val="20"/>
          <w:color w:val="auto"/>
        </w:rPr>
      </w:pPr>
      <w:r>
        <w:rPr>
          <w:rFonts w:ascii="Times New Roman" w:cs="Times New Roman" w:eastAsia="Times New Roman" w:hAnsi="Times New Roman"/>
          <w:sz w:val="18"/>
          <w:szCs w:val="18"/>
          <w:color w:val="auto"/>
        </w:rPr>
        <w:t>At March 31, 2026, there was $97.4 million of unrecognized compensation cost, net of estimated forfeitures, related to all equity-based awards, which is expected to be recognized over a weighted average period of approximately 2.1 years.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60" w:type="dxa"/>
            <w:vAlign w:val="bottom"/>
            <w:tcBorders>
              <w:bottom w:val="single" w:sz="8" w:color="auto"/>
            </w:tcBorders>
          </w:tcPr>
          <w:p>
            <w:pPr>
              <w:spacing w:after="0"/>
              <w:rPr>
                <w:sz w:val="16"/>
                <w:szCs w:val="16"/>
                <w:color w:val="auto"/>
              </w:rPr>
            </w:pPr>
          </w:p>
        </w:tc>
      </w:tr>
      <w:tr>
        <w:trPr>
          <w:trHeight w:val="196"/>
        </w:trPr>
        <w:tc>
          <w:tcPr>
            <w:tcW w:w="5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40" w:type="dxa"/>
            <w:vAlign w:val="bottom"/>
            <w:tcBorders>
              <w:top w:val="single" w:sz="8" w:color="auto"/>
            </w:tcBorders>
            <w:gridSpan w:val="2"/>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Inc.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41,529</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492"/>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People Inc.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472"/>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203"/>
        </w:trPr>
        <w:tc>
          <w:tcPr>
            <w:tcW w:w="5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4"/>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Principles of Financial Reporting</w:t>
      </w:r>
      <w:r>
        <w:rPr>
          <w:rFonts w:ascii="Times New Roman" w:cs="Times New Roman" w:eastAsia="Times New Roman" w:hAnsi="Times New Roman"/>
          <w:sz w:val="18"/>
          <w:szCs w:val="18"/>
          <w:color w:val="auto"/>
        </w:rPr>
        <w:t>” for the definition of Adjusted EBITDA and required non-GAAP reconciliations.</w:t>
      </w:r>
    </w:p>
    <w:p>
      <w:pPr>
        <w:spacing w:after="0" w:line="22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Approximately one-half of our consolidated annual Adjusted EBITDA is generated in the fourth quarter of each fiscal year. This is due to the concentration of spending by advertisers, which drives higher advertising revenue, and consumer spending, which drives higher performance marketing revenue, during the year-end holiday selling season at People Inc.</w:t>
      </w:r>
    </w:p>
    <w:p>
      <w:pPr>
        <w:ind w:left="340" w:right="140" w:hanging="251"/>
        <w:spacing w:after="0" w:line="255" w:lineRule="auto"/>
        <w:tabs>
          <w:tab w:leader="none" w:pos="335"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People Inc. Adjusted EBITDA decreased 46% to $43.5 million due to an increase in Adjusted EBITDA loss of $37.3 million from Other (unallocated corporate costs) and a decrease in Adjusted EBITDA of $7.9 million from Print, partially offset by an increase in Adjusted EBITDA of $8.4 million from Digital.</w:t>
      </w:r>
    </w:p>
    <w:p>
      <w:pPr>
        <w:spacing w:after="0" w:line="185" w:lineRule="exact"/>
        <w:rPr>
          <w:rFonts w:ascii="Times New Roman" w:cs="Times New Roman" w:eastAsia="Times New Roman" w:hAnsi="Times New Roman"/>
          <w:sz w:val="18"/>
          <w:szCs w:val="18"/>
          <w:b w:val="1"/>
          <w:bCs w:val="1"/>
          <w:i w:val="1"/>
          <w:iCs w:val="1"/>
          <w:color w:val="auto"/>
        </w:rPr>
      </w:pPr>
    </w:p>
    <w:p>
      <w:pPr>
        <w:ind w:left="980" w:hanging="243"/>
        <w:spacing w:after="0"/>
        <w:tabs>
          <w:tab w:leader="none" w:pos="98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Other (unallocated corporate costs) Adjusted EBITDA loss increase was due primarily to the inclusion in the prior year of a net gain of</w:t>
      </w:r>
    </w:p>
    <w:p>
      <w:pPr>
        <w:spacing w:after="0" w:line="27" w:lineRule="exact"/>
        <w:rPr>
          <w:rFonts w:ascii="Times New Roman" w:cs="Times New Roman" w:eastAsia="Times New Roman" w:hAnsi="Times New Roman"/>
          <w:sz w:val="18"/>
          <w:szCs w:val="18"/>
          <w:b w:val="1"/>
          <w:bCs w:val="1"/>
          <w:color w:val="auto"/>
        </w:rPr>
      </w:pPr>
    </w:p>
    <w:p>
      <w:pPr>
        <w:ind w:left="980" w:right="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$36.2 million resulting from the amendment to a lease, which provided for the surrender of certain office space early and $2.1 million of costs in the first quarter of 2026 related to the antitrust litigation against Google.</w:t>
      </w:r>
    </w:p>
    <w:p>
      <w:pPr>
        <w:spacing w:after="0" w:line="181" w:lineRule="exact"/>
        <w:rPr>
          <w:rFonts w:ascii="Times New Roman" w:cs="Times New Roman" w:eastAsia="Times New Roman" w:hAnsi="Times New Roman"/>
          <w:sz w:val="18"/>
          <w:szCs w:val="18"/>
          <w:b w:val="1"/>
          <w:bCs w:val="1"/>
          <w:color w:val="auto"/>
        </w:rPr>
      </w:pPr>
    </w:p>
    <w:p>
      <w:pPr>
        <w:ind w:left="980" w:right="200" w:hanging="243"/>
        <w:spacing w:after="0" w:line="282" w:lineRule="auto"/>
        <w:tabs>
          <w:tab w:leader="none" w:pos="9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Adjusted EBITDA decrease was due primarily to lower revenue, partially offset by lower operating expenses from continued cost rationalization efforts.</w:t>
      </w:r>
    </w:p>
    <w:p>
      <w:pPr>
        <w:spacing w:after="0" w:line="161" w:lineRule="exact"/>
        <w:rPr>
          <w:rFonts w:ascii="Times New Roman" w:cs="Times New Roman" w:eastAsia="Times New Roman" w:hAnsi="Times New Roman"/>
          <w:sz w:val="18"/>
          <w:szCs w:val="18"/>
          <w:color w:val="auto"/>
        </w:rPr>
      </w:pPr>
    </w:p>
    <w:p>
      <w:pPr>
        <w:ind w:left="980" w:right="20" w:hanging="243"/>
        <w:spacing w:after="0" w:line="282" w:lineRule="auto"/>
        <w:tabs>
          <w:tab w:leader="none" w:pos="9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Adjusted EBITDA increase was due primarily to higher revenue, partially offset by increases in advertising and events production expense and AI service costs.</w:t>
      </w:r>
    </w:p>
    <w:p>
      <w:pPr>
        <w:spacing w:after="0" w:line="161" w:lineRule="exact"/>
        <w:rPr>
          <w:rFonts w:ascii="Times New Roman" w:cs="Times New Roman" w:eastAsia="Times New Roman" w:hAnsi="Times New Roman"/>
          <w:sz w:val="18"/>
          <w:szCs w:val="18"/>
          <w:color w:val="auto"/>
        </w:rPr>
      </w:pPr>
    </w:p>
    <w:p>
      <w:pPr>
        <w:ind w:left="340" w:right="80" w:hanging="251"/>
        <w:spacing w:after="0" w:line="261"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Adjusted EBITDA decreased $11.3 million to a loss of $8.3 million due primarily to lower revenue, an increase in compensation expense due primarily to severance and related expenses of $5.4 million and the write-off of $1.4 million related to certain prepaid vendor contracts, resulting from the anticipated shutdown of the Search segment in the second quarter of 2026. See “Services Agreement with Google and the Shutdown of the Search Segment” above for further discussion.</w:t>
      </w:r>
    </w:p>
    <w:p>
      <w:pPr>
        <w:spacing w:after="0" w:line="179" w:lineRule="exact"/>
        <w:rPr>
          <w:rFonts w:ascii="Times New Roman" w:cs="Times New Roman" w:eastAsia="Times New Roman" w:hAnsi="Times New Roman"/>
          <w:sz w:val="18"/>
          <w:szCs w:val="18"/>
          <w:color w:val="auto"/>
        </w:rPr>
      </w:pPr>
    </w:p>
    <w:p>
      <w:pPr>
        <w:ind w:left="340" w:right="80" w:hanging="251"/>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&amp; Other Adjusted EBITDA increased $8.7 million to $4.2 million from a loss of $4.5 million due primarily to the inclusion in the prior year of $5.9 million in legal fees for litigation that concluded in the third quarter of 2025 related to a legacy business and increased profits at The Daily Beast and Vivian Health.</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right="60" w:hanging="251"/>
        <w:spacing w:after="0" w:line="256" w:lineRule="auto"/>
        <w:tabs>
          <w:tab w:leader="none" w:pos="33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Adjusted EBITDA loss decreased 13% to $36.8 million due primarily to the inclusion in the prior year of $14.5 million in separation benefits to our former CEO under the Employment Transition Agreement and $4.8 million in transaction-related costs related to the Distribution, partially offset by increases of $8.6 million in severance and related expense and $3.7 million in legal fees and $2.2 million in transaction-related costs related to the sale of Care.com on March 16, 2026. The increase in severance and related expense is due to a reduction in workforce as the Company consolidates its corporate functions with those of People Inc. See “IAC Corporate Restructuring” above for additional information on the reduction in workforce.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60" w:type="dxa"/>
            <w:vAlign w:val="bottom"/>
            <w:tcBorders>
              <w:bottom w:val="single" w:sz="8" w:color="auto"/>
            </w:tcBorders>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96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(28,314)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9%</w:t>
            </w:r>
          </w:p>
        </w:tc>
      </w:tr>
    </w:tbl>
    <w:p>
      <w:pPr>
        <w:spacing w:after="0" w:line="292" w:lineRule="exact"/>
        <w:rPr>
          <w:sz w:val="20"/>
          <w:szCs w:val="20"/>
          <w:color w:val="auto"/>
        </w:rPr>
      </w:pPr>
    </w:p>
    <w:p>
      <w:pPr>
        <w:ind w:left="80" w:right="420" w:firstLine="243"/>
        <w:spacing w:after="0" w:line="282" w:lineRule="auto"/>
        <w:rPr>
          <w:sz w:val="20"/>
          <w:szCs w:val="20"/>
          <w:color w:val="auto"/>
        </w:rPr>
      </w:pPr>
      <w:r>
        <w:rPr>
          <w:rFonts w:ascii="Times New Roman" w:cs="Times New Roman" w:eastAsia="Times New Roman" w:hAnsi="Times New Roman"/>
          <w:sz w:val="18"/>
          <w:szCs w:val="18"/>
          <w:color w:val="auto"/>
        </w:rPr>
        <w:t>Interest expense in 2026 decreased from 2025 due primarily to both decreases in the amount of debt outstanding and interest rates under the Term Loans, partially offset by interest expense on the 2032 Notes.</w:t>
      </w:r>
    </w:p>
    <w:p>
      <w:pPr>
        <w:spacing w:after="0" w:line="162" w:lineRule="exact"/>
        <w:rPr>
          <w:sz w:val="20"/>
          <w:szCs w:val="20"/>
          <w:color w:val="auto"/>
        </w:rPr>
      </w:pPr>
    </w:p>
    <w:p>
      <w:pPr>
        <w:ind w:left="80" w:right="200" w:firstLine="243"/>
        <w:spacing w:after="0" w:line="282" w:lineRule="auto"/>
        <w:rPr>
          <w:sz w:val="20"/>
          <w:szCs w:val="20"/>
          <w:color w:val="auto"/>
        </w:rPr>
      </w:pPr>
      <w:r>
        <w:rPr>
          <w:rFonts w:ascii="Times New Roman" w:cs="Times New Roman" w:eastAsia="Times New Roman" w:hAnsi="Times New Roman"/>
          <w:sz w:val="18"/>
          <w:szCs w:val="18"/>
          <w:color w:val="auto"/>
        </w:rPr>
        <w:t>For further details, see “</w:t>
      </w:r>
      <w:r>
        <w:rPr>
          <w:rFonts w:ascii="Times New Roman" w:cs="Times New Roman" w:eastAsia="Times New Roman" w:hAnsi="Times New Roman"/>
          <w:sz w:val="18"/>
          <w:szCs w:val="18"/>
          <w:u w:val="single" w:color="auto"/>
          <w:color w:val="0000FF"/>
        </w:rPr>
        <w:t>Note 3—Long-term debt</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Statements</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gain (loss) on investment in MGM</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60" w:type="dxa"/>
            <w:vAlign w:val="bottom"/>
            <w:tcBorders>
              <w:bottom w:val="single" w:sz="8" w:color="auto"/>
            </w:tcBorders>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40" w:type="dxa"/>
            <w:vAlign w:val="bottom"/>
            <w:tcBorders>
              <w:top w:val="single" w:sz="8" w:color="auto"/>
            </w:tcBorders>
            <w:gridSpan w:val="2"/>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investment in MGM</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358,270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99"/>
              <w:spacing w:after="0"/>
              <w:rPr>
                <w:sz w:val="20"/>
                <w:szCs w:val="20"/>
                <w:color w:val="auto"/>
              </w:rPr>
            </w:pPr>
            <w:r>
              <w:rPr>
                <w:rFonts w:ascii="Times New Roman" w:cs="Times New Roman" w:eastAsia="Times New Roman" w:hAnsi="Times New Roman"/>
                <w:sz w:val="18"/>
                <w:szCs w:val="18"/>
                <w:color w:val="auto"/>
                <w:w w:val="96"/>
              </w:rPr>
              <w:t>NM</w:t>
            </w:r>
          </w:p>
        </w:tc>
      </w:tr>
    </w:tbl>
    <w:p>
      <w:pPr>
        <w:spacing w:after="0" w:line="27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At March 31, 2026, the Company owns 66.8 million common shares of MGM, including 1.0 million common shares purchased in the first quarter of 2026 for $37.2 million, which represents approximately 26.1% of MGM's common shares outstanding. The Company accounts for its investment in MGM under the equity method of accounting using the fair value option. The fair value of the investment in MGM is remeasured each reporting period based upon MGM’s closing stock price on the New York Stock Exchange on the last trading day in the reporting period; any unrealized pre-tax gains or losses are included in the statement of operations.</w:t>
      </w:r>
    </w:p>
    <w:p>
      <w:pPr>
        <w:spacing w:after="0" w:line="183"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2—Financial Instruments and Fair Value Measurements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Consolidated Financial Statements</w:t>
      </w:r>
      <w:r>
        <w:rPr>
          <w:rFonts w:ascii="Times New Roman" w:cs="Times New Roman" w:eastAsia="Times New Roman" w:hAnsi="Times New Roman"/>
          <w:sz w:val="18"/>
          <w:szCs w:val="18"/>
          <w:color w:val="000000"/>
        </w:rPr>
        <w:t>” for additional information on the voting agreement the Company entered into with MGM and Barry Diller on April 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6"/>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9,529</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an unutilized domain name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downward adjustments to the carrying value of equity securities without readily determinable fair values</w:t>
            </w:r>
          </w:p>
        </w:tc>
        <w:tc>
          <w:tcPr>
            <w:tcW w:w="2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(4,574)</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0" w:type="dxa"/>
            <w:vAlign w:val="bottom"/>
          </w:tcPr>
          <w:p>
            <w:pPr>
              <w:spacing w:after="0"/>
              <w:rPr>
                <w:sz w:val="1"/>
                <w:szCs w:val="1"/>
                <w:color w:val="auto"/>
              </w:rPr>
            </w:pPr>
          </w:p>
        </w:tc>
      </w:tr>
      <w:tr>
        <w:trPr>
          <w:trHeight w:val="149"/>
        </w:trPr>
        <w:tc>
          <w:tcPr>
            <w:tcW w:w="5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net gains on sales of investments and businesses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20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1,634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14,089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Change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6,457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Change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3"/>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40" w:type="dxa"/>
            <w:vAlign w:val="bottom"/>
            <w:tcBorders>
              <w:top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20" w:type="dxa"/>
            <w:vAlign w:val="bottom"/>
          </w:tcPr>
          <w:p>
            <w:pPr>
              <w:spacing w:after="0"/>
              <w:rPr>
                <w:sz w:val="20"/>
                <w:szCs w:val="20"/>
                <w:color w:val="auto"/>
              </w:rPr>
            </w:pPr>
          </w:p>
        </w:tc>
        <w:tc>
          <w:tcPr>
            <w:tcW w:w="110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18"/>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further details of income tax matters, see “</w:t>
      </w:r>
      <w:r>
        <w:rPr>
          <w:rFonts w:ascii="Times New Roman" w:cs="Times New Roman" w:eastAsia="Times New Roman" w:hAnsi="Times New Roman"/>
          <w:sz w:val="18"/>
          <w:szCs w:val="18"/>
          <w:u w:val="single" w:color="auto"/>
          <w:color w:val="0000FF"/>
        </w:rPr>
        <w:t>Note 7—Income Taxes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Consolidated Financial Statements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80" w:right="360" w:firstLine="243"/>
        <w:spacing w:after="0" w:line="282" w:lineRule="auto"/>
        <w:rPr>
          <w:sz w:val="20"/>
          <w:szCs w:val="20"/>
          <w:color w:val="auto"/>
        </w:rPr>
      </w:pPr>
      <w:r>
        <w:rPr>
          <w:rFonts w:ascii="Times New Roman" w:cs="Times New Roman" w:eastAsia="Times New Roman" w:hAnsi="Times New Roman"/>
          <w:sz w:val="18"/>
          <w:szCs w:val="18"/>
          <w:color w:val="auto"/>
        </w:rPr>
        <w:t>In 2026, the effective income tax rate is higher than the statutory rate of 21% due primarily to state taxes, including an adjustment to deferred state income taxes resulting from the sale of Care.com, and non-deductible compensation expense, partially offset by research credits.</w:t>
      </w:r>
    </w:p>
    <w:p>
      <w:pPr>
        <w:spacing w:after="0" w:line="162" w:lineRule="exact"/>
        <w:rPr>
          <w:sz w:val="20"/>
          <w:szCs w:val="20"/>
          <w:color w:val="auto"/>
        </w:rPr>
      </w:pPr>
    </w:p>
    <w:p>
      <w:pPr>
        <w:jc w:val="both"/>
        <w:ind w:left="80" w:right="60" w:firstLine="243"/>
        <w:spacing w:after="0" w:line="266" w:lineRule="auto"/>
        <w:rPr>
          <w:sz w:val="20"/>
          <w:szCs w:val="20"/>
          <w:color w:val="auto"/>
        </w:rPr>
      </w:pPr>
      <w:r>
        <w:rPr>
          <w:rFonts w:ascii="Times New Roman" w:cs="Times New Roman" w:eastAsia="Times New Roman" w:hAnsi="Times New Roman"/>
          <w:sz w:val="18"/>
          <w:szCs w:val="18"/>
          <w:color w:val="auto"/>
        </w:rPr>
        <w:t>In 2025, the effective income tax rate is lower than the statutory rate of 21% due primarily to non-deductible compensation expense, partially offset by research credits and non-taxable stock-based compensation expense, which was reversed due to the forfeiture of our former CEO’s restricted stock award pursuant to the Employment Transition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noncontrolling interests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60" w:type="dxa"/>
            <w:vAlign w:val="bottom"/>
            <w:tcBorders>
              <w:bottom w:val="single" w:sz="8" w:color="auto"/>
            </w:tcBorders>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96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46%</w:t>
            </w:r>
          </w:p>
        </w:tc>
      </w:tr>
    </w:tbl>
    <w:p>
      <w:pPr>
        <w:spacing w:after="0" w:line="292" w:lineRule="exact"/>
        <w:rPr>
          <w:sz w:val="20"/>
          <w:szCs w:val="20"/>
          <w:color w:val="auto"/>
        </w:rPr>
      </w:pPr>
    </w:p>
    <w:p>
      <w:pPr>
        <w:ind w:left="80" w:right="140" w:firstLine="243"/>
        <w:spacing w:after="0" w:line="266" w:lineRule="auto"/>
        <w:rPr>
          <w:sz w:val="20"/>
          <w:szCs w:val="20"/>
          <w:color w:val="auto"/>
        </w:rPr>
      </w:pPr>
      <w:r>
        <w:rPr>
          <w:rFonts w:ascii="Times New Roman" w:cs="Times New Roman" w:eastAsia="Times New Roman" w:hAnsi="Times New Roman"/>
          <w:sz w:val="18"/>
          <w:szCs w:val="18"/>
          <w:color w:val="auto"/>
        </w:rPr>
        <w:t>Net earnings attributable to noncontrolling interests in 2026 primarily represents the allocation of earnings related to a business in Emerging &amp; Other. Net earnings attributable to noncontrolling interests in 2025 primarily represents the publicly-held interest in Angi’s earnings prior to the Distribution, which was completed on March 31, 2025.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PRINCIPLES OF FINANCIAL REPORTING</w:t>
      </w:r>
    </w:p>
    <w:p>
      <w:pPr>
        <w:spacing w:after="0" w:line="229"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The Company reports Adjusted EBITDA, which is a non-GAAP measure, as a supplemental measure to U.S. generally accepted accounting principles (“GAAP”). This measure is also our primary segment measure of profitability and among the metrics by which we evaluate the performance of our businesses, and our internal budgets are based and may also impact management compensation. We believe that investors and analysts should have access to, and we are obligated to provide, the same set of tools that we use in analyzing our results. This non-GAAP measure should be considered in addition to results prepared in accordance with GAAP but should not be considered a substitute for or superior to GAAP results. The Company endeavors to compensate for the limitations of the non-GAAP measure presented by providing the comparable GAAP measure with equal or greater prominence and descriptions of the reconciling items, including quantifying such items, to derive the non-GAAP measure. We encourage investors to examine the reconciling adjustments between the GAAP and non-GAAP measure, which we discuss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Non-GAAP Measure</w:t>
      </w:r>
    </w:p>
    <w:p>
      <w:pPr>
        <w:spacing w:after="0" w:line="119"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Adjusted EBITDA (Adjusted Earnings Before Interest, Taxes, Depreciation and Amortization) </w:t>
      </w:r>
      <w:r>
        <w:rPr>
          <w:rFonts w:ascii="Times New Roman" w:cs="Times New Roman" w:eastAsia="Times New Roman" w:hAnsi="Times New Roman"/>
          <w:sz w:val="18"/>
          <w:szCs w:val="18"/>
          <w:color w:val="auto"/>
        </w:rPr>
        <w:t>is defined as operating income excluding: (1) stock-based compensation expense; (2) depreciation; and (3) acquisition-related items consisting of (i) amortization of intangible assets and impairments of goodwill and intangible assets, if applicable, and (ii) gains and losses recognized on changes in the fair value of contingent consideration arrangements, if applicable. We believe this measure is useful for investors and analysts as this measure allows a more meaningful comparison between our performance and that of our competitors. Adjusted EBITDA has certain limitations because it excludes the impact of these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Expenses That Are Excluded from Our Non-GAAP Measure</w:t>
      </w:r>
    </w:p>
    <w:p>
      <w:pPr>
        <w:spacing w:after="0" w:line="22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 </w:t>
      </w:r>
      <w:r>
        <w:rPr>
          <w:rFonts w:ascii="Times New Roman" w:cs="Times New Roman" w:eastAsia="Times New Roman" w:hAnsi="Times New Roman"/>
          <w:sz w:val="18"/>
          <w:szCs w:val="18"/>
          <w:color w:val="auto"/>
        </w:rPr>
        <w:t>consists of expense associated with awards that were granted under various IAC stock and annual incentive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denominated in IAC common shares and expense related to awards denominated in the equity of certain subsidiaries of the Company. These expenses are not paid in cash and we view the economic costs of stock-based awards to be the dilution to our share base; the related shares are included in our fully diluted shares outstanding for GAAP earnings per share using the treasury stock method. The Company currently settles all stock-based awards on a net basis whereby IAC remits from its current funds the required tax-withholding on behalf of employees for net-settled awards.</w:t>
      </w:r>
    </w:p>
    <w:p>
      <w:pPr>
        <w:spacing w:after="0" w:line="183" w:lineRule="exact"/>
        <w:rPr>
          <w:sz w:val="20"/>
          <w:szCs w:val="20"/>
          <w:color w:val="auto"/>
        </w:rPr>
      </w:pPr>
    </w:p>
    <w:p>
      <w:pPr>
        <w:jc w:val="both"/>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w:t>
      </w:r>
      <w:r>
        <w:rPr>
          <w:rFonts w:ascii="Times New Roman" w:cs="Times New Roman" w:eastAsia="Times New Roman" w:hAnsi="Times New Roman"/>
          <w:sz w:val="18"/>
          <w:szCs w:val="18"/>
          <w:color w:val="auto"/>
        </w:rPr>
        <w:t>is a non-cash expense relating to our buildings, equipment, leasehold improvements and capitalized software and is computed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straight-line method to allocate the cost of depreciable assets to operations over their estimated useful lives, or, in the case of leasehold improvements, the lease term, if shorter.</w:t>
      </w:r>
    </w:p>
    <w:p>
      <w:pPr>
        <w:spacing w:after="0" w:line="173" w:lineRule="exact"/>
        <w:rPr>
          <w:sz w:val="20"/>
          <w:szCs w:val="20"/>
          <w:color w:val="auto"/>
        </w:rPr>
      </w:pPr>
    </w:p>
    <w:p>
      <w:pPr>
        <w:ind w:right="10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and impairments of goodwill and intangible assets </w:t>
      </w:r>
      <w:r>
        <w:rPr>
          <w:rFonts w:ascii="Times New Roman" w:cs="Times New Roman" w:eastAsia="Times New Roman" w:hAnsi="Times New Roman"/>
          <w:sz w:val="18"/>
          <w:szCs w:val="18"/>
          <w:color w:val="auto"/>
        </w:rPr>
        <w:t>are non-cash expenses related primarily to acquisitions.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acquisition, the identifiable definite-lived intangible assets of the acquired company are valued and amortized over their estimated lives. Value is also assigned to acquired indefinite-lived intangible assets, which comprise trade names and trademarks, and goodwill that are not subject to amortization. An impairment is recorded when the carrying value of an intangible asset or goodwill exceeds its fair value. We believe that intangible assets represent costs incurred by the acquired company to build value prior to acquisition and the related amortization and impairments of intangible assets or goodwill, if applicable, are not ongoing costs of doing business.</w:t>
      </w:r>
    </w:p>
    <w:p>
      <w:pPr>
        <w:spacing w:after="0" w:line="182"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Gains and losses recognized on changes in the fair value of contingent consideration arrangements </w:t>
      </w:r>
      <w:r>
        <w:rPr>
          <w:rFonts w:ascii="Times New Roman" w:cs="Times New Roman" w:eastAsia="Times New Roman" w:hAnsi="Times New Roman"/>
          <w:sz w:val="18"/>
          <w:szCs w:val="18"/>
          <w:color w:val="auto"/>
        </w:rPr>
        <w:t>are accounting adjustments to report liabilities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portion of the purchase price of acquisitions, if applicable, that is contingent upon the financial performance and/or operating targets of the acquired company at fair value that are recognized in “General and administrative expense” in the statement of operations. These adjustments can be highly variable and are excluded from our assessment of performance because they are considered non-operational in nature and, therefore, are not indicative of current or future performance or the ongoing cost of doing business. The last such arrangement expired during the year ended December 31, 2022. Therefore, there were no gains or losses on contingent consideration arrangements in the three months ended March 31, 2026 and 2025.</w:t>
      </w:r>
    </w:p>
    <w:p>
      <w:pPr>
        <w:spacing w:after="0" w:line="18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reconcile operating (loss) income to Adjusted EBITDA for the Company’s reportable segments and net loss attributable to IAC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2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Stock-based</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1"/>
                <w:szCs w:val="11"/>
                <w:color w:val="auto"/>
              </w:rPr>
            </w:pPr>
          </w:p>
        </w:tc>
        <w:tc>
          <w:tcPr>
            <w:tcW w:w="10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of Intangibles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Inc.</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People Inc.</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43,503</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(36,755)</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investment in MGM Resorts International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the sale of Care.com, net of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IAC shareholders</w:t>
            </w:r>
          </w:p>
        </w:tc>
        <w:tc>
          <w:tcPr>
            <w:tcW w:w="2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1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People Inc.</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Digital</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Print</w:t>
      </w:r>
    </w:p>
    <w:p>
      <w:pPr>
        <w:ind w:left="140"/>
        <w:spacing w:after="0" w:line="181" w:lineRule="auto"/>
        <w:rPr>
          <w:sz w:val="20"/>
          <w:szCs w:val="20"/>
          <w:color w:val="auto"/>
        </w:rPr>
      </w:pPr>
      <w:r>
        <w:rPr>
          <w:rFonts w:ascii="Times New Roman" w:cs="Times New Roman" w:eastAsia="Times New Roman" w:hAnsi="Times New Roman"/>
          <w:sz w:val="29"/>
          <w:szCs w:val="29"/>
          <w:color w:val="auto"/>
          <w:vertAlign w:val="subscript"/>
        </w:rPr>
        <w:t>Other</w:t>
      </w:r>
      <w:r>
        <w:rPr>
          <w:rFonts w:ascii="Times New Roman" w:cs="Times New Roman" w:eastAsia="Times New Roman" w:hAnsi="Times New Roman"/>
          <w:sz w:val="11"/>
          <w:szCs w:val="11"/>
          <w:color w:val="auto"/>
        </w:rPr>
        <w:t>(a)(b)</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People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Search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Emerging &amp; Other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20"/>
        <w:spacing w:after="0" w:line="271" w:lineRule="auto"/>
        <w:rPr>
          <w:sz w:val="20"/>
          <w:szCs w:val="20"/>
          <w:color w:val="auto"/>
        </w:rPr>
      </w:pPr>
      <w:r>
        <w:rPr>
          <w:rFonts w:ascii="Times New Roman" w:cs="Times New Roman" w:eastAsia="Times New Roman" w:hAnsi="Times New Roman"/>
          <w:sz w:val="18"/>
          <w:szCs w:val="18"/>
          <w:color w:val="auto"/>
        </w:rPr>
        <w:t>Unrealized loss on investment in MGM Resorts International Other income, net</w:t>
      </w:r>
    </w:p>
    <w:p>
      <w:pPr>
        <w:ind w:left="20" w:right="560"/>
        <w:spacing w:after="0" w:line="268" w:lineRule="auto"/>
        <w:rPr>
          <w:sz w:val="20"/>
          <w:szCs w:val="20"/>
          <w:color w:val="auto"/>
        </w:rPr>
      </w:pPr>
      <w:r>
        <w:rPr>
          <w:rFonts w:ascii="Times New Roman" w:cs="Times New Roman" w:eastAsia="Times New Roman" w:hAnsi="Times New Roman"/>
          <w:sz w:val="18"/>
          <w:szCs w:val="18"/>
          <w:color w:val="auto"/>
        </w:rPr>
        <w:t>Loss from continuing operations before income taxes Income tax benefit</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p>
      <w:pPr>
        <w:spacing w:after="0" w:line="31" w:lineRule="exact"/>
        <w:rPr>
          <w:sz w:val="20"/>
          <w:szCs w:val="20"/>
          <w:color w:val="auto"/>
        </w:rPr>
      </w:pPr>
    </w:p>
    <w:p>
      <w:pPr>
        <w:ind w:left="20" w:right="100"/>
        <w:spacing w:after="0" w:line="276" w:lineRule="auto"/>
        <w:rPr>
          <w:sz w:val="20"/>
          <w:szCs w:val="20"/>
          <w:color w:val="auto"/>
        </w:rPr>
      </w:pPr>
      <w:r>
        <w:rPr>
          <w:rFonts w:ascii="Times New Roman" w:cs="Times New Roman" w:eastAsia="Times New Roman" w:hAnsi="Times New Roman"/>
          <w:sz w:val="18"/>
          <w:szCs w:val="18"/>
          <w:color w:val="auto"/>
        </w:rPr>
        <w:t>Earnings from discontinued operations, net of income taxes Net loss</w:t>
      </w:r>
    </w:p>
    <w:p>
      <w:pPr>
        <w:spacing w:after="0" w:line="1" w:lineRule="exact"/>
        <w:rPr>
          <w:sz w:val="20"/>
          <w:szCs w:val="20"/>
          <w:color w:val="auto"/>
        </w:rPr>
      </w:pPr>
    </w:p>
    <w:p>
      <w:pPr>
        <w:ind w:left="20" w:right="680"/>
        <w:spacing w:after="0" w:line="339" w:lineRule="auto"/>
        <w:rPr>
          <w:sz w:val="20"/>
          <w:szCs w:val="20"/>
          <w:color w:val="auto"/>
        </w:rPr>
      </w:pPr>
      <w:r>
        <w:rPr>
          <w:rFonts w:ascii="Times New Roman" w:cs="Times New Roman" w:eastAsia="Times New Roman" w:hAnsi="Times New Roman"/>
          <w:sz w:val="18"/>
          <w:szCs w:val="18"/>
          <w:color w:val="auto"/>
        </w:rPr>
        <w:t>Net earnings attributable to noncontrolling interests Net loss attributable to IAC shareholders</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82" w:lineRule="exact"/>
        <w:rPr>
          <w:sz w:val="20"/>
          <w:szCs w:val="20"/>
          <w:color w:val="auto"/>
        </w:rPr>
      </w:pPr>
    </w:p>
    <w:p>
      <w:pPr>
        <w:ind w:left="580" w:hanging="248"/>
        <w:spacing w:after="0"/>
        <w:tabs>
          <w:tab w:leader="none" w:pos="5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comprises unallocated corporate expenses.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134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Stock-based</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 of</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6"/>
        </w:trPr>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w:t>
            </w:r>
            <w:r>
              <w:rPr>
                <w:rFonts w:ascii="Times New Roman" w:cs="Times New Roman" w:eastAsia="Times New Roman" w:hAnsi="Times New Roman"/>
                <w:sz w:val="9"/>
                <w:szCs w:val="9"/>
                <w:b w:val="1"/>
                <w:bCs w:val="1"/>
                <w:color w:val="auto"/>
              </w:rPr>
              <w:t>(c)</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Intangibles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18,724</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41,529</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24,481</w:t>
            </w:r>
          </w:p>
        </w:tc>
        <w:tc>
          <w:tcPr>
            <w:tcW w:w="0" w:type="dxa"/>
            <w:vAlign w:val="bottom"/>
          </w:tcPr>
          <w:p>
            <w:pPr>
              <w:spacing w:after="0"/>
              <w:rPr>
                <w:sz w:val="1"/>
                <w:szCs w:val="1"/>
                <w:color w:val="auto"/>
              </w:rPr>
            </w:pPr>
          </w:p>
        </w:tc>
      </w:tr>
      <w:tr>
        <w:trPr>
          <w:trHeight w:val="218"/>
        </w:trPr>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80,291</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(42,389)</w:t>
            </w:r>
          </w:p>
        </w:tc>
        <w:tc>
          <w:tcPr>
            <w:tcW w:w="0" w:type="dxa"/>
            <w:vAlign w:val="bottom"/>
          </w:tcPr>
          <w:p>
            <w:pPr>
              <w:spacing w:after="0"/>
              <w:rPr>
                <w:sz w:val="1"/>
                <w:szCs w:val="1"/>
                <w:color w:val="auto"/>
              </w:rPr>
            </w:pPr>
          </w:p>
        </w:tc>
      </w:tr>
      <w:tr>
        <w:trPr>
          <w:trHeight w:val="223"/>
        </w:trPr>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(28,314)</w:t>
            </w: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-1782445</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-1490980</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-1199515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-899795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-607695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-290830</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jc w:val="right"/>
        <w:ind w:right="5380"/>
        <w:spacing w:after="0"/>
        <w:rPr>
          <w:sz w:val="20"/>
          <w:szCs w:val="20"/>
          <w:color w:val="auto"/>
        </w:rPr>
      </w:pPr>
      <w:r>
        <w:rPr>
          <w:rFonts w:ascii="Times New Roman" w:cs="Times New Roman" w:eastAsia="Times New Roman" w:hAnsi="Times New Roman"/>
          <w:sz w:val="18"/>
          <w:szCs w:val="18"/>
          <w:color w:val="auto"/>
        </w:rPr>
        <w:t>(320,823)</w:t>
      </w:r>
    </w:p>
    <w:p>
      <w:pPr>
        <w:spacing w:after="0" w:line="27" w:lineRule="exact"/>
        <w:rPr>
          <w:sz w:val="20"/>
          <w:szCs w:val="20"/>
          <w:color w:val="auto"/>
        </w:rPr>
      </w:pPr>
    </w:p>
    <w:p>
      <w:pPr>
        <w:jc w:val="right"/>
        <w:ind w:right="5440"/>
        <w:spacing w:after="0"/>
        <w:rPr>
          <w:sz w:val="20"/>
          <w:szCs w:val="20"/>
          <w:color w:val="auto"/>
        </w:rPr>
      </w:pPr>
      <w:r>
        <w:rPr>
          <w:rFonts w:ascii="Times New Roman" w:cs="Times New Roman" w:eastAsia="Times New Roman" w:hAnsi="Times New Roman"/>
          <w:sz w:val="18"/>
          <w:szCs w:val="18"/>
          <w:color w:val="auto"/>
        </w:rPr>
        <w:t>62,481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14605</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18"/>
          <w:szCs w:val="18"/>
          <w:color w:val="auto"/>
        </w:rPr>
        <w:t>(258,342)</w:t>
      </w:r>
    </w:p>
    <w:p>
      <w:pPr>
        <w:spacing w:after="0" w:line="27" w:lineRule="exact"/>
        <w:rPr>
          <w:sz w:val="20"/>
          <w:szCs w:val="20"/>
          <w:color w:val="auto"/>
        </w:rPr>
      </w:pPr>
    </w:p>
    <w:p>
      <w:pPr>
        <w:jc w:val="right"/>
        <w:ind w:right="5440"/>
        <w:spacing w:after="0"/>
        <w:rPr>
          <w:sz w:val="20"/>
          <w:szCs w:val="20"/>
          <w:color w:val="auto"/>
        </w:rPr>
      </w:pPr>
      <w:r>
        <w:rPr>
          <w:rFonts w:ascii="Times New Roman" w:cs="Times New Roman" w:eastAsia="Times New Roman" w:hAnsi="Times New Roman"/>
          <w:sz w:val="18"/>
          <w:szCs w:val="18"/>
          <w:color w:val="auto"/>
        </w:rPr>
        <w:t>43,774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14605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18"/>
          <w:szCs w:val="18"/>
          <w:color w:val="auto"/>
        </w:rPr>
        <w:t>(214,568)</w:t>
      </w:r>
    </w:p>
    <w:p>
      <w:pPr>
        <w:spacing w:after="0" w:line="27"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18"/>
          <w:szCs w:val="18"/>
          <w:color w:val="auto"/>
        </w:rPr>
        <w:t>(2,237)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14605</wp:posOffset>
            </wp:positionV>
            <wp:extent cx="71323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500" w:hanging="484"/>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43180</wp:posOffset>
            </wp:positionV>
            <wp:extent cx="7886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071" w:lineRule="exact"/>
        <w:rPr>
          <w:sz w:val="20"/>
          <w:szCs w:val="20"/>
          <w:color w:val="auto"/>
        </w:rPr>
      </w:pPr>
    </w:p>
    <w:p>
      <w:pPr>
        <w:sectPr>
          <w:pgSz w:w="11900" w:h="16838" w:orient="portrait"/>
          <w:cols w:equalWidth="0" w:num="2">
            <w:col w:w="4420" w:space="220"/>
            <w:col w:w="6600"/>
          </w:cols>
          <w:pgMar w:left="320" w:top="118" w:right="339" w:bottom="1440" w:gutter="0" w:footer="0" w:header="0"/>
          <w:type w:val="continuous"/>
        </w:sectPr>
      </w:pPr>
    </w:p>
    <w:p>
      <w:pPr>
        <w:ind w:left="660" w:right="20" w:hanging="328"/>
        <w:spacing w:after="0" w:line="221" w:lineRule="auto"/>
        <w:tabs>
          <w:tab w:leader="none" w:pos="589"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a gain of $36.2 million resulting from an amendment to a lease, which provided for the surrender of certain office space early and is included in “General and Administrative expenses” in the statement of operations. Prior to this amendment, the lease for this office space would have expired in 2032. The ROU asset of the amended lease had been previously impaired in prior years.</w:t>
      </w:r>
    </w:p>
    <w:p>
      <w:pPr>
        <w:spacing w:after="0" w:line="82" w:lineRule="exact"/>
        <w:rPr>
          <w:rFonts w:ascii="Times New Roman" w:cs="Times New Roman" w:eastAsia="Times New Roman" w:hAnsi="Times New Roman"/>
          <w:sz w:val="19"/>
          <w:szCs w:val="19"/>
          <w:color w:val="auto"/>
          <w:vertAlign w:val="superscript"/>
        </w:rPr>
      </w:pPr>
    </w:p>
    <w:p>
      <w:pPr>
        <w:ind w:left="660" w:right="20" w:hanging="328"/>
        <w:spacing w:after="0" w:line="281" w:lineRule="auto"/>
        <w:tabs>
          <w:tab w:leader="none" w:pos="583"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Corporate reflects the reversal of $49.8 million of previously recognized stock-based compensation expense related to the forfeiture of our former CEO’s restricted stock award pursuant to the Employment Transition Agreement, partially offset by $14.9 million of stock-based compensation expense related to the transfer of 5.0 million Class B shares of Angi held by the Company to our former CEO prior to the Distribution pursuant to the Employment Transition Agreement.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gridSpan w:val="4"/>
          </w:tcPr>
          <w:p>
            <w:pPr>
              <w:jc w:val="right"/>
              <w:ind w:right="139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People Inc. cash and cash equivalents:</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295,270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261,904</w:t>
            </w: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 countries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22,414</w:t>
            </w:r>
          </w:p>
        </w:tc>
      </w:tr>
      <w:tr>
        <w:trPr>
          <w:trHeight w:val="223"/>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People Inc. cash and cash equivalents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284,318</w:t>
            </w:r>
          </w:p>
        </w:tc>
      </w:tr>
      <w:tr>
        <w:trPr>
          <w:trHeight w:val="196"/>
        </w:trPr>
        <w:tc>
          <w:tcPr>
            <w:tcW w:w="7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IAC (excluding People Inc.) cash and cash equivalents</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653,480</w:t>
            </w:r>
          </w:p>
        </w:tc>
      </w:tr>
      <w:tr>
        <w:trPr>
          <w:trHeight w:val="229"/>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countries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w:t>
            </w:r>
          </w:p>
        </w:tc>
      </w:tr>
      <w:tr>
        <w:trPr>
          <w:trHeight w:val="223"/>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IAC (excluding People Inc.)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656,993</w:t>
            </w:r>
          </w:p>
        </w:tc>
      </w:tr>
      <w:tr>
        <w:trPr>
          <w:trHeight w:val="196"/>
        </w:trPr>
        <w:tc>
          <w:tcPr>
            <w:tcW w:w="74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941,311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People Inc. Debt: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 A-1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336,875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341,250</w:t>
            </w: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Term Loan B-2</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3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2032 Notes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1,435,125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1,441,250</w:t>
            </w: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w:t>
            </w: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original issue discount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r>
      <w:tr>
        <w:trPr>
          <w:trHeight w:val="23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People Inc. long-term debt,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1,401,324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international cash can be repatriated without significant tax consequences.</w:t>
      </w:r>
    </w:p>
    <w:p>
      <w:pPr>
        <w:spacing w:after="0" w:line="225" w:lineRule="exact"/>
        <w:rPr>
          <w:sz w:val="20"/>
          <w:szCs w:val="20"/>
          <w:color w:val="auto"/>
        </w:rPr>
      </w:pPr>
    </w:p>
    <w:p>
      <w:pPr>
        <w:ind w:right="460" w:firstLine="405"/>
        <w:spacing w:after="0" w:line="266" w:lineRule="auto"/>
        <w:rPr>
          <w:sz w:val="20"/>
          <w:szCs w:val="20"/>
          <w:color w:val="auto"/>
        </w:rPr>
      </w:pPr>
      <w:r>
        <w:rPr>
          <w:rFonts w:ascii="Times New Roman" w:cs="Times New Roman" w:eastAsia="Times New Roman" w:hAnsi="Times New Roman"/>
          <w:sz w:val="18"/>
          <w:szCs w:val="18"/>
          <w:color w:val="auto"/>
        </w:rPr>
        <w:t>The Company’s consolidated debt of approximately $1.44 billion is the liability of People Inc. For a detailed description of long-term debt and interest rate swaps, see “</w:t>
      </w:r>
      <w:r>
        <w:rPr>
          <w:rFonts w:ascii="Times New Roman" w:cs="Times New Roman" w:eastAsia="Times New Roman" w:hAnsi="Times New Roman"/>
          <w:sz w:val="18"/>
          <w:szCs w:val="18"/>
          <w:u w:val="single" w:color="auto"/>
          <w:color w:val="0000FF"/>
        </w:rPr>
        <w:t>Note 3—Long-term Debt</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Statements</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summary, IAC’s cash flows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80" w:type="dxa"/>
            <w:vAlign w:val="bottom"/>
            <w:gridSpan w:val="3"/>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4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7"/>
                <w:szCs w:val="17"/>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 attributable to continuing operations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9,964</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(27,311)</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 attributable to continuing operations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260,644</w:t>
            </w:r>
          </w:p>
        </w:tc>
        <w:tc>
          <w:tcPr>
            <w:tcW w:w="6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(375,221)</w:t>
            </w:r>
          </w:p>
        </w:tc>
      </w:tr>
      <w:tr>
        <w:trPr>
          <w:trHeight w:val="234"/>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 attributable to continuing operations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(141,152)</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(233,982)</w:t>
            </w:r>
          </w:p>
        </w:tc>
      </w:tr>
    </w:tbl>
    <w:p>
      <w:pPr>
        <w:spacing w:after="0" w:line="28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attributable to continuing operations consists of net loss adjusted for non-cash items and the effect of changes in working capital. Non-cash adjustments include the unrealized (gain) loss on the investment in MGM, amortization of intangibles, depreciation, stock-based compensation expense, deferred income taxes, non-cash lease expense (including ROU asset impairments), net gains on amendments and early terminations of lease agreements, net downward adjustments to the carrying value of equity securities without readily determinable fair values and net gains on sales of investments and businesses, and gain on sale of an unutilized domain name in 2026.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2026</w:t>
      </w:r>
    </w:p>
    <w:p>
      <w:pPr>
        <w:spacing w:after="0" w:line="22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Adjustments to net earnings attributable to continuing operations consist primarily of amortization of intangibles of $19.0 million, stock-based compensation expense of $16.4 million, non-cash lease expense of $7.5 million, depreciation of $7.3 million and net downward adjustments to the carrying value of equity securities without readily determinable fair values and net gains on sales of investments of $4.6 million, partially offset by an unrealized gain on the investment in MGM of $34.0 million, deferred income taxes of $15.1 million and gain on sale of an unutilized domain name of $7.5 million. The changes in working capital include a decrease in accounts receivable of $86.3 million, partially offset by a decrease in accounts payable and other liabilities of $61.6 million and a decrease in operating lease liabilities of $14.5 million. The decrease in accounts receivable is due primarily to a decrease in revenue in the first quarter of 2026 relative to the fourth quarter of 2025 at People Inc. The decrease in accounts payable and other liabilities is due primarily to a decrease in accrued employee compensation, due primarily to timing of payments, including the payment of 2025 bonuses in 2026, partially offset by an increase in accrued severance and related expense related to the reduction in workforce as the Company consolidates its corporate functions with those of People Inc., and a decrease in accrued advertising and related payables at People Inc. and Search. The decrease in operating lease liabilities is due to cash payments on leases, including the final remaining payment of $4.3 million related to an amendment of a lease in the prior year, which provided for the surrender of certain office space early at People Inc., net of interest accretion.</w:t>
      </w:r>
    </w:p>
    <w:p>
      <w:pPr>
        <w:spacing w:after="0" w:line="190"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attributable to continuing operations includes net proceeds from the sale of Care.com of $295.7 million and proceeds from the sale of an unutilized domain name of $7.5 million, partially offset by the purchase of 1.0 million common shares of MGM for $37.2 million and capital expenditures of $8.0 million.</w:t>
      </w:r>
    </w:p>
    <w:p>
      <w:pPr>
        <w:spacing w:after="0" w:line="17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attributable to continuing operations includes $123.6 million for the repurchase of 3.3 million shares of common stock, on a settlement date basis, at an average price of $37.70 per share, withholding taxes paid on behalf of employees for net settled stock-based awards of $18.0 million and principal payments on the Term Loans of $6.1 million, partially offset by a distribution from Angi Inc. pursuant to the tax sharing agreement of $6.5 million.</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2025</w:t>
      </w:r>
    </w:p>
    <w:p>
      <w:pPr>
        <w:spacing w:after="0" w:line="229" w:lineRule="exact"/>
        <w:rPr>
          <w:sz w:val="20"/>
          <w:szCs w:val="20"/>
          <w:color w:val="auto"/>
        </w:rPr>
      </w:pPr>
    </w:p>
    <w:p>
      <w:pPr>
        <w:ind w:right="100" w:firstLine="405"/>
        <w:spacing w:after="0" w:line="252" w:lineRule="auto"/>
        <w:rPr>
          <w:sz w:val="20"/>
          <w:szCs w:val="20"/>
          <w:color w:val="auto"/>
        </w:rPr>
      </w:pPr>
      <w:r>
        <w:rPr>
          <w:rFonts w:ascii="Times New Roman" w:cs="Times New Roman" w:eastAsia="Times New Roman" w:hAnsi="Times New Roman"/>
          <w:sz w:val="18"/>
          <w:szCs w:val="18"/>
          <w:color w:val="auto"/>
        </w:rPr>
        <w:t>Adjustments to net loss attributable to continuing operations consist primarily of an unrealized loss on the investment in MGM of $324.3 million, amortization of intangibles of $22.4 million, depreciation of $11.2 million, non-cash lease expense (including ROU asset impairments) of $8.7 million and net downward adjustments to the carrying value of equity securities without readily determinable fair values and net gains on sales of investments and businesses of $7.5 million, partially offset by deferred income taxes of $63.8 million, net gains on amendments and early terminations of lease agreements of $36.0 million and stock-based compensation expense of $21.4 million. The changes in working capital include a decrease in accounts payable and other liabilities of $35.6 million, a decrease in operating lease liabilities of $34.0 million and an increase in other assets of $32.7 million, partially offset by a decrease in accounts receivable of $76.6 million. The decrease in accounts payable and other liabilities is due primarily to a decrease in accrued employee compensation, due primarily to payment of 2024 bonuses in 2025, a decrease in accrued payroll due to timing of payments and a decrease at People Inc. due to severance payments, partially offset by the accrual of separation benefits to our former CEO under the Employment Transition Agreement, and a decrease in accrued traffic acquisition costs and related payables at Search, partially offset by an increase in a liability related to the settlement of a legal matter. The decrease in operating lease liabilities is due to cash payments on leases, including $26.1 million related to an amendment of a lease, which provided for the surrender of certain office space early at People Inc., net of interest accretion. The increase in other assets is due primarily to a receivable related to insurance coverage for the aforementioned legal matter. The decrease in accounts receivable is due primarily to a decrease in revenue in the first quarter of 2025 relative to the fourth quarter of 2024 at People Inc.</w:t>
      </w:r>
    </w:p>
    <w:p>
      <w:pPr>
        <w:spacing w:after="0" w:line="197"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attributable to continuing operations includes $386.6 million related to the allocation of Angi Inc. cash in the Distribution and capital expenditures of $4.1 million, partially offset by net proceeds from the sales of investments of $10.1 million and proceeds from the sale of a portion of the retirement investment fund of $5.2 million at People Inc.</w:t>
      </w:r>
    </w:p>
    <w:p>
      <w:pPr>
        <w:spacing w:after="0" w:line="17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attributable to continuing operations includes $179.4 million for the repurchase of 3.9 million shares of common stock, on a settlement date basis, for an average price of $45.71 per share, withholding taxes paid on behalf of employees for net settled stock-based awards of $45.2 million and principal payments on the Term Loans of $8.8 million.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Net cash used in discontinued operations of $5.4 million for the three months ended March 31, 2026 relates to the operations of Care.com and the net cash provided by discontinued operations of $2.8 million for the three months ended March 31, 2025 relates to the operations of both Care.com and Angi. The Company does not expect significant cash flows from Care.com after its sale or from Angi following the Distribution.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229"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At March 31, 2026, the Term Loan A-1 bore interest at SOFR plus 2.00%, or 5.67% and the Term Loan B-2 bore interest at SOFR, subject to a minimum of 0.50%, plus 3.50%, or 7.17%.</w:t>
      </w:r>
    </w:p>
    <w:p>
      <w:pPr>
        <w:spacing w:after="0" w:line="16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People Inc. holds interest rate swaps that synthetically convert $350 million of the Term Loan B-2 from a variable rate to a fixed rate through April 1, 2027. Should SOFR continue to equal or exceed 0.50%, then the fixed rate for the Term Loan B-2 will be approximately 7.32% ((i) the weighted average fixed interest rate of approximately 3.82% on the interest rate swaps and (ii) the base rate of 3.50%). In the event SOFR becomes less than or equal to 0.50%, then the interest rate swaps would be fixed in a range from approximately 7.32% to 7.42% as determined by the governing agreements.</w:t>
      </w:r>
    </w:p>
    <w:p>
      <w:pPr>
        <w:spacing w:after="0" w:line="180"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For a detailed description of long-term debt and interest rate swaps, see “</w:t>
      </w:r>
      <w:r>
        <w:rPr>
          <w:rFonts w:ascii="Times New Roman" w:cs="Times New Roman" w:eastAsia="Times New Roman" w:hAnsi="Times New Roman"/>
          <w:sz w:val="18"/>
          <w:szCs w:val="18"/>
          <w:u w:val="single" w:color="auto"/>
          <w:color w:val="0000FF"/>
        </w:rPr>
        <w:t>Note 3—Long-term Debt</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 Consolidated Financial Statements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Investment in MGM</w:t>
      </w:r>
    </w:p>
    <w:p>
      <w:pPr>
        <w:spacing w:after="0" w:line="229"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At March 31, 2026, the Company owns 66.8 million common shares of MGM, including 1.0 million common shares purchased in the first quarter of 2026 for $37.2 million, which represents approximately 26.1% of MGM's common shares outstanding.</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Investment in Turo</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March 31, 2026, IAC’s ownership interest in Turo is approximately 33%.</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Activity and Authorization</w:t>
      </w:r>
    </w:p>
    <w:p>
      <w:pPr>
        <w:spacing w:after="0" w:line="22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repurchased 3.3 million shares of its common stock, on a trade date basis, at $37.71 per share, or $123.8 million in aggregate, under the 10 million share repurchase authorization approved by the board of directors of IAC on March 16, 2025 (the “2025 Share Authorization”). From April 1, 2026 through May 1, 2026, the Company repurchased an additional 0.2 million shares of its common stock, on a trade date basis, at an average price of $40.35 per share, or $8.3 million in aggregate. At May 1, 2026, IAC has 2.5 million shares remaining in the 2025 Share Authorization. Share repurchases can be made over an indefinite period of time in the open market and in privately negotiated transactions, depending on those factors management deems relevant at any particular time, including, without limitation, market conditions, price and future outlook.</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At March 31, 2026, there have been no material changes to the Company’s contractual obligations disclosures as previously disclosed in our Annual Report.</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 anticipates that it will need to continue to make capital expenditures in connection with the development and expansion of its operations. The Company’s 2026 capital expenditures are expected to be higher than its 2025 capital expenditures of $17.7 million by approximately 50% to 60%, due primarily to leasehold improvements primarily related to the optimization of the remaining space under certain amended leases.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Liquidity Assessment</w:t>
      </w:r>
    </w:p>
    <w:p>
      <w:pPr>
        <w:spacing w:after="0" w:line="22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a consolidated basis, the Company generated positive cash flows from operating activities of $10.0 million for the three months ended March 31, 2026; excluding the positive cash flows from operating activities of $55.7 million generated by People Inc., the Company generated negative cash flows from operating activities of $45.7 million.</w:t>
      </w:r>
    </w:p>
    <w:p>
      <w:pPr>
        <w:spacing w:after="0" w:line="176"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At March 31, 2026, the Company’s consolidated cash and cash equivalents were $1.1 billion, of which $315.8 million was held by People Inc., and the consolidated debt at March 31, 2026 of approximately $1.44 billion is solely the liability of People Inc. If defined consolidated net leverage ratios are exceeded or if an event of default has occurred, the governing agreements contain additional covenants that would limit People Inc.’s ability to pay dividends, incur incremental secured indebtedness or make distributions or certain investments. As a result, the Company may not be able to freely access People Inc.’s cash. People Inc.’s consolidated net leverage ratio was in compliance for the test period ended March 31, 2026.</w:t>
      </w:r>
    </w:p>
    <w:p>
      <w:pPr>
        <w:spacing w:after="0" w:line="18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governing agreements allow the Company to contribute cash to People Inc., which the Company has done in the past and may do so in the future, to provide, among other things, additional liquidity to improve People Inc.’s consolidated net leverage ratios for any test period, which may result in improved interest rates on the Term Loan A-1 and reduced commitment fees on the Revolving Facility. The governing agreements also allow People Inc. to make distributions to the Company in amounts not to exceed these capital contributions, provided that no default has occurred and is continuing. No quarterly contributions have been made to People Inc. since the contribution that the Company made in September 2025, which People Inc. distributed back to the Company in October 2025; therefore, there were no pending contributions or distributions outstanding as of March 31, 2026 and December 31, 2025.</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liquidity could be negatively affected by a decrease in demand for its products and services resulting from adverse market, macroeconomic or geopolitical conditions, including declines in consumer confidence or spending, high or volatile interest rates, inflationary pressures, labor market disruptions or other factors that reduce customers’ willingness or ability to pay for our offerings.</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believes People Inc.’s existing cash, cash equivalents and expected positive cash flows from operations, and the Company’s existing cash and cash equivalents, excluding People Inc., will be sufficient to fund their respective normal operating requirements, including capital expenditures, debt service, the payment of withholding taxes on behalf of employees for net-settled stock-based awards and investing and other commitments for the next twelve months, and thereafter for the foreseeable future. The Company may need to raise additional capital through future debt or equity financing to refinance its existing capital structure and make acquisitions and investments. Additional financing may not be available on terms favorable to the Company, or at all, and may also be impacted by any disruptions or volatility in the financial markets. The indebtedness at People Inc. could further limit the Company’s ability to raise additional financing.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16" w:lineRule="exact"/>
        <w:rPr>
          <w:sz w:val="20"/>
          <w:szCs w:val="20"/>
          <w:color w:val="auto"/>
        </w:rPr>
      </w:pPr>
    </w:p>
    <w:p>
      <w:pPr>
        <w:ind w:right="600" w:firstLine="405"/>
        <w:spacing w:after="0" w:line="266" w:lineRule="auto"/>
        <w:rPr>
          <w:sz w:val="20"/>
          <w:szCs w:val="20"/>
          <w:color w:val="auto"/>
        </w:rPr>
      </w:pPr>
      <w:r>
        <w:rPr>
          <w:rFonts w:ascii="Times New Roman" w:cs="Times New Roman" w:eastAsia="Times New Roman" w:hAnsi="Times New Roman"/>
          <w:sz w:val="18"/>
          <w:szCs w:val="18"/>
          <w:color w:val="auto"/>
        </w:rPr>
        <w:t>At March 31, 2026, the Company owns 66.8 million common shares of MGM Resorts International (“MGM”). The Company accounts for its investment in MGM under the equity method of accounting and has elected to account for this investment using the fair value option.</w:t>
      </w:r>
    </w:p>
    <w:p>
      <w:pPr>
        <w:spacing w:after="0" w:line="162" w:lineRule="exact"/>
        <w:rPr>
          <w:sz w:val="20"/>
          <w:szCs w:val="20"/>
          <w:color w:val="auto"/>
        </w:rPr>
      </w:pPr>
    </w:p>
    <w:p>
      <w:pPr>
        <w:ind w:right="20" w:firstLine="405"/>
        <w:spacing w:after="0" w:line="238" w:lineRule="auto"/>
        <w:rPr>
          <w:sz w:val="20"/>
          <w:szCs w:val="20"/>
          <w:color w:val="auto"/>
        </w:rPr>
      </w:pPr>
      <w:r>
        <w:rPr>
          <w:rFonts w:ascii="Times New Roman" w:cs="Times New Roman" w:eastAsia="Times New Roman" w:hAnsi="Times New Roman"/>
          <w:sz w:val="18"/>
          <w:szCs w:val="18"/>
          <w:color w:val="auto"/>
        </w:rPr>
        <w:t>The cumulative unrealized net pre-tax gain at March 31, 2026 is $1.1 billion. At March 31, 2026 and December 31, 2025, the carrying value of the Company’s investment in MGM, which includes the cumulative unrealized pre-tax gains, was $2.5 billion and $2.4 billion, or approximately 36% and 33% of the Company’s consolidated total assets, respectively. A $2.00 increase or decrease in the share price of MGM would result in an unrealized gain or loss, respectively, of $133.6 million. At May 1, 2026, the fair value of the Company’s investment in MGM was $2.6 billion. The Company’s results of operations and financial condition have in the past been and may in the future be materially impacted by increases or decreases in the price of MGM common shares.</w:t>
      </w:r>
    </w:p>
    <w:p>
      <w:pPr>
        <w:spacing w:after="0" w:line="186"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2—Financial Instruments and Fair Value Measurements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Consolidated Financial Statements</w:t>
      </w:r>
      <w:r>
        <w:rPr>
          <w:rFonts w:ascii="Times New Roman" w:cs="Times New Roman" w:eastAsia="Times New Roman" w:hAnsi="Times New Roman"/>
          <w:sz w:val="18"/>
          <w:szCs w:val="18"/>
          <w:color w:val="000000"/>
        </w:rPr>
        <w:t>” for additional information.</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16"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At March 31, 2026, the principal amount of the Company’s outstanding debt totals $1.44 billion. The $1.04 billion principal amount of the Term Loan A-1 due May 14, 2030 (“Term Loan A-1”) and the Term Loan B-2 due June 16, 2032 (“Term Loan B-2”) bear interest at variable rates based upon the secured overnight financing rate (“SOFR”).</w:t>
      </w:r>
    </w:p>
    <w:p>
      <w:pPr>
        <w:spacing w:after="0" w:line="177" w:lineRule="exact"/>
        <w:rPr>
          <w:sz w:val="20"/>
          <w:szCs w:val="20"/>
          <w:color w:val="auto"/>
        </w:rPr>
      </w:pPr>
    </w:p>
    <w:p>
      <w:pPr>
        <w:ind w:right="60" w:firstLine="405"/>
        <w:spacing w:after="0" w:line="241" w:lineRule="auto"/>
        <w:rPr>
          <w:sz w:val="20"/>
          <w:szCs w:val="20"/>
          <w:color w:val="auto"/>
        </w:rPr>
      </w:pPr>
      <w:r>
        <w:rPr>
          <w:rFonts w:ascii="Times New Roman" w:cs="Times New Roman" w:eastAsia="Times New Roman" w:hAnsi="Times New Roman"/>
          <w:sz w:val="18"/>
          <w:szCs w:val="18"/>
          <w:color w:val="auto"/>
        </w:rPr>
        <w:t>People Inc. holds interest rate swaps to manage interest rate risk with a total notional amount of $350 million and which will expire on April 1, 2027. The interest rate swaps synthetically convert a portion of the Term Loan B-2 from a variable rate to a fixed rate. People Inc. applies hedge accounting to these contracts. The fair value of the interest rate swaps is determined using discounted cash flows derived from observable market prices, including swap curves, and represents what People Inc. would pay or receive to terminate the swap agreements. People Inc. intends to continue to meet the conditions for hedge accounting, however, if these interest rate swaps were not highly effective in offsetting cash flows attributable to the hedged risk, the changes in the fair value of the interest rate swaps used as hedges could have a significant impact on future results of operations.</w:t>
      </w:r>
    </w:p>
    <w:p>
      <w:pPr>
        <w:spacing w:after="0" w:line="184"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If SOFR were to increase or decrease by 100 basis points, the combined annual interest expense on the Term Loan A-1 and the Term Loan B-2, net of the impact related to the $350 million in notional amount of interest rate swaps, would increase or decrease by $6.8 million.</w:t>
      </w:r>
    </w:p>
    <w:p>
      <w:pPr>
        <w:spacing w:after="0" w:line="176"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3—Long-term Debt</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1—Consolidated Financial Statements</w:t>
      </w:r>
      <w:r>
        <w:rPr>
          <w:rFonts w:ascii="Times New Roman" w:cs="Times New Roman" w:eastAsia="Times New Roman" w:hAnsi="Times New Roman"/>
          <w:sz w:val="18"/>
          <w:szCs w:val="18"/>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(the “Exchange Act”), management, including our Chairman and Senior Executive and Chief Financial Officer (“CFO”), conducted an evaluation, as of the end of the period covered by this quarterly report, of the effectiveness of the Company’s disclosure controls and procedures as defined by Rule 13a-15(e) under the Exchange Act. Based on this evaluation, our Chairman and Senior Executive and CFO concluded that the Company’s disclosure controls and procedures were effective as of the end of the period covered by this quarterly report.</w:t>
      </w:r>
    </w:p>
    <w:p>
      <w:pPr>
        <w:spacing w:after="0" w:line="183"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Company monitors and evaluates on an ongoing basis its internal control over financial reporting in order to improve its overall effectiveness. In the course of these evaluations, the Company modifies and refines its internal processes as conditions warrant.</w:t>
      </w:r>
    </w:p>
    <w:p>
      <w:pPr>
        <w:spacing w:after="0" w:line="16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there have been no changes to our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IAC and its subsidiaries are (or may become) parties to litigation involving property, personal injury, contract, intellectual property and other claims, as well as shareholder derivative actions, class action lawsuits and other matters. The amounts that may be recovered in such matters may be subject to insurance coverage.</w:t>
      </w:r>
    </w:p>
    <w:p>
      <w:pPr>
        <w:spacing w:after="0" w:line="177"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10—Contingencies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1—Consolidated Financial Statements</w:t>
      </w:r>
      <w:r>
        <w:rPr>
          <w:rFonts w:ascii="Times New Roman" w:cs="Times New Roman" w:eastAsia="Times New Roman" w:hAnsi="Times New Roman"/>
          <w:sz w:val="18"/>
          <w:szCs w:val="18"/>
          <w:color w:val="auto"/>
        </w:rPr>
        <w:t>” for additional information related to a previous lawsuit related to the allocation of a gain recorded in 2015 related to a real estate transaction.</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People Inc. Ad-Tech Antitrust Litigation against Google</w:t>
      </w:r>
    </w:p>
    <w:p>
      <w:pPr>
        <w:spacing w:after="0" w:line="20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7"/>
          <w:szCs w:val="17"/>
          <w:color w:val="auto"/>
        </w:rPr>
        <w:t xml:space="preserve">On August 29, 2025, the Company’s People Inc. subsidiary filed an action in the United States District Court for the Southern District of New York against Google LLC and Alphabet Inc. (collectively, “Google”), alleging violations of federal antitrust and state law arising out of anticompetitive practices by Google in the ad-tech industry in connection with the sale of ad inventory for display on People Inc.’s online properties. </w:t>
      </w:r>
      <w:r>
        <w:rPr>
          <w:rFonts w:ascii="Times New Roman" w:cs="Times New Roman" w:eastAsia="Times New Roman" w:hAnsi="Times New Roman"/>
          <w:sz w:val="17"/>
          <w:szCs w:val="17"/>
          <w:i w:val="1"/>
          <w:iCs w:val="1"/>
          <w:color w:val="auto"/>
        </w:rPr>
        <w:t>See Dotdash Meredith Inc. a/k/a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People Inc. et ano. v. Google LLC et ano.</w:t>
      </w:r>
      <w:r>
        <w:rPr>
          <w:rFonts w:ascii="Times New Roman" w:cs="Times New Roman" w:eastAsia="Times New Roman" w:hAnsi="Times New Roman"/>
          <w:sz w:val="17"/>
          <w:szCs w:val="17"/>
          <w:color w:val="auto"/>
        </w:rPr>
        <w:t>, No. 1:25-cv-7194 (S.D.N.Y.). The lawsuit follows on the Government’s antitrust enforcement action against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Google in the digital advertising technology space, in which a federal district judge has ruled that Google acquired, maintained, and misused monopoly power in the publisher ad-server and ad-exchange markets, and tied use of its publisher ad-server to use of its ad exchange, in violation of the Sherman Act. </w:t>
      </w:r>
      <w:r>
        <w:rPr>
          <w:rFonts w:ascii="Times New Roman" w:cs="Times New Roman" w:eastAsia="Times New Roman" w:hAnsi="Times New Roman"/>
          <w:sz w:val="17"/>
          <w:szCs w:val="17"/>
          <w:i w:val="1"/>
          <w:iCs w:val="1"/>
          <w:color w:val="auto"/>
        </w:rPr>
        <w:t>See United States v. Google LLC</w:t>
      </w:r>
      <w:r>
        <w:rPr>
          <w:rFonts w:ascii="Times New Roman" w:cs="Times New Roman" w:eastAsia="Times New Roman" w:hAnsi="Times New Roman"/>
          <w:sz w:val="17"/>
          <w:szCs w:val="17"/>
          <w:color w:val="auto"/>
        </w:rPr>
        <w:t>, No. 1:23-cv-108 (E.D. Va.) (Apr. 17, 2025 Mem. Op.). People Inc.’s complaint asserts federal antitrust claims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monopolization and attempted monopolization of the publisher ad-server and ad-exchange markets and for unlawful tying in violation of the Sherman Act, as well as claims of deceptive acts or practices in violation of the New York General Business Law and claims of common-law fraud and unjust enrichment, and seeks among other things declaratory and injunctive relief and damages, including treble damages, in an amount to be determined at trial.</w:t>
      </w:r>
    </w:p>
    <w:p>
      <w:pPr>
        <w:spacing w:after="0" w:line="180" w:lineRule="exact"/>
        <w:rPr>
          <w:sz w:val="20"/>
          <w:szCs w:val="20"/>
          <w:color w:val="auto"/>
        </w:rPr>
      </w:pPr>
    </w:p>
    <w:p>
      <w:pPr>
        <w:ind w:right="20" w:firstLine="405"/>
        <w:spacing w:after="0" w:line="237" w:lineRule="auto"/>
        <w:rPr>
          <w:sz w:val="20"/>
          <w:szCs w:val="20"/>
          <w:color w:val="auto"/>
        </w:rPr>
      </w:pPr>
      <w:r>
        <w:rPr>
          <w:rFonts w:ascii="Times New Roman" w:cs="Times New Roman" w:eastAsia="Times New Roman" w:hAnsi="Times New Roman"/>
          <w:sz w:val="18"/>
          <w:szCs w:val="18"/>
          <w:color w:val="auto"/>
        </w:rPr>
        <w:t xml:space="preserve">People Inc.’s lawsuit is part of a consolidated multidistrict litigation (“MDL”) comprised of similar lawsuits filed by other online publishers, all pending before the same judge in the Southern District of New York. See </w:t>
      </w:r>
      <w:r>
        <w:rPr>
          <w:rFonts w:ascii="Times New Roman" w:cs="Times New Roman" w:eastAsia="Times New Roman" w:hAnsi="Times New Roman"/>
          <w:sz w:val="18"/>
          <w:szCs w:val="18"/>
          <w:i w:val="1"/>
          <w:iCs w:val="1"/>
          <w:color w:val="auto"/>
        </w:rPr>
        <w:t>In re Google Digital Advertising Antitrust Litigation</w:t>
      </w:r>
      <w:r>
        <w:rPr>
          <w:rFonts w:ascii="Times New Roman" w:cs="Times New Roman" w:eastAsia="Times New Roman" w:hAnsi="Times New Roman"/>
          <w:sz w:val="18"/>
          <w:szCs w:val="18"/>
          <w:color w:val="auto"/>
        </w:rPr>
        <w:t>, No. 1:21-md-3010 (S.D.N.Y.) (Castel, J.). On October 27, 2025, in a ruling in one of the earlier-filed publisher lawsuits in the MDL, the court held that Google is precluded from relitigating certain issues previously decided against it in the Government’s case, including (i) that publisher ad servers and ad exchanges are separate, distinct, and worldwide markets for antitrust purposes, (ii) that Google engaged in five separate types of anticompetitive conduct in willfully acquiring and maintaining monopoly power in those markets, and (iii) that Google unlawfully tied its publisher ad server to its ad exchange in violation of the Sherman Act.</w:t>
      </w:r>
    </w:p>
    <w:p>
      <w:pPr>
        <w:spacing w:after="0" w:line="216" w:lineRule="exact"/>
        <w:rPr>
          <w:sz w:val="20"/>
          <w:szCs w:val="20"/>
          <w:color w:val="auto"/>
        </w:rPr>
      </w:pPr>
    </w:p>
    <w:p>
      <w:pPr>
        <w:jc w:val="both"/>
        <w:ind w:right="80" w:firstLine="405"/>
        <w:spacing w:after="0" w:line="250" w:lineRule="auto"/>
        <w:rPr>
          <w:sz w:val="20"/>
          <w:szCs w:val="20"/>
          <w:color w:val="auto"/>
        </w:rPr>
      </w:pPr>
      <w:r>
        <w:rPr>
          <w:rFonts w:ascii="Times New Roman" w:cs="Times New Roman" w:eastAsia="Times New Roman" w:hAnsi="Times New Roman"/>
          <w:sz w:val="18"/>
          <w:szCs w:val="18"/>
          <w:color w:val="auto"/>
        </w:rPr>
        <w:t>On November 24, 2025, Google filed a motion to dismiss the state-law claims (but not the federal antitrust claims) in People Inc.’s complaint. People Inc. opposed the motion, which remains pending. Fact discovery in the case is substantially complete, and expert discovery will begin shortly. People Inc. intends to vigorously pursue its claims in this action, but there is no guarantee that its efforts will be successful.</w:t>
      </w:r>
    </w:p>
    <w:p>
      <w:pPr>
        <w:spacing w:after="0" w:line="2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75" w:lineRule="exact"/>
        <w:rPr>
          <w:sz w:val="20"/>
          <w:szCs w:val="20"/>
          <w:color w:val="auto"/>
        </w:rPr>
      </w:pPr>
    </w:p>
    <w:p>
      <w:pPr>
        <w:ind w:right="120" w:firstLine="405"/>
        <w:spacing w:after="0" w:line="217" w:lineRule="exact"/>
        <w:rPr>
          <w:sz w:val="20"/>
          <w:szCs w:val="20"/>
          <w:color w:val="auto"/>
        </w:rPr>
      </w:pPr>
      <w:r>
        <w:rPr>
          <w:rFonts w:ascii="Times New Roman" w:cs="Times New Roman" w:eastAsia="Times New Roman" w:hAnsi="Times New Roman"/>
          <w:sz w:val="18"/>
          <w:szCs w:val="18"/>
          <w:color w:val="auto"/>
        </w:rPr>
        <w:t>This quarterly report on Form 10-Q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Private Securities Litigation Reform Act of 1995. The use of words such as "anticipates," "estimates," "expects," "plans" and "believes," among others, generally identify forward-looking statements. These forward-looking statements include, among others, statements relating to: the planned corporate consolidation, sales of any non-core assets, the future financial performance of the Company, business prospects and strategy, anticipated trends and prospects in the industries in which the Company operates and other similar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405"/>
        <w:spacing w:after="0" w:line="235" w:lineRule="auto"/>
        <w:rPr>
          <w:sz w:val="20"/>
          <w:szCs w:val="20"/>
          <w:color w:val="auto"/>
        </w:rPr>
      </w:pPr>
      <w:r>
        <w:rPr>
          <w:rFonts w:ascii="Times New Roman" w:cs="Times New Roman" w:eastAsia="Times New Roman" w:hAnsi="Times New Roman"/>
          <w:sz w:val="18"/>
          <w:szCs w:val="18"/>
          <w:color w:val="auto"/>
        </w:rPr>
        <w:t>Actual results could differ materially from those contained in these forward-looking statements for a variety of reasons, including, among others: (i) the impact of advances in artificial intelligence (“AI”) and other digital technologies, including AI-enabled search features, on how users access and consume information and the resulting effects on traffic, engagement and monetization, (ii) our reliance on search engines and third-party platforms, including changes in algorithms, policies, economics or features (including those implemented by Google), as well as the potential expiration or modification of key commercial agreements, (iii) our ability to effectively market our products and services in a cost-efficient manner across evolving digital channels, (iv) our dependence on advertising revenue and the sensitivity of such revenue to macroeconomic conditions, including factors affecting advertiser demand, consumer confidence and discretionary spending, as well as geopolitical and broader market uncertainty, (v) our ability to adapt to changes in digital marketing practices, including limitations on data access, tracking technologies and targeting capabilities, (vi) our ability to develop, distribute and monetize our products and services across mobile and other platforms and maintain effective relationships with third-party partners, (vii) the continued growth, engagement and monetization of our digital publishing brands, (viii) risks related to our Print business, including ongoing revenue declines, cost pressures (including paper and postage), and reliance on key vendors, (ix) our ability to access, collect, use and protect personal data and comply with evolving privacy and data protection laws and platform restrictions, (x) our ability to effectively engage with users, subscribers and caregivers across communication channels, (xi) the concentration of voting control among our Chairman and Senior Executive and related parties, (xii) risks related to our liquidity and indebtedness, including our ability to service debt and comply with related covenants, as well as limitations on access to subsidiary cash flows, (xiii) risks related to strategic transactions and initiatives, including our ability to realize anticipated benefits from prior transactions and execute future initiatives, (xiv) competitive pressures in rapidly evolving industries, including from larger or better-positioned competitors and AI-enabled offerings, (xv) our ability to build, maintain and protect our brands, (xvi) cybersecurity risks, including increasingly sophisticated attacks (including those enabled by AI) and vulnerabilities at third-party providers, (xvii) data security breaches, fraud and related liabilities, (xviii) risks associated with the integrity, scalability and reliability of our systems, technology and infrastructure, (xix) the impact of general economic, geopolitical and public health conditions, (xx) our dependence on key personnel and leadership transitions, (xxi) volatility in our stock price and risks related to our capital allocation strategy and (xxii) risks related to the planned corporate consolidation.</w:t>
      </w:r>
    </w:p>
    <w:p>
      <w:pPr>
        <w:spacing w:after="0" w:line="212" w:lineRule="exact"/>
        <w:rPr>
          <w:sz w:val="20"/>
          <w:szCs w:val="20"/>
          <w:color w:val="auto"/>
        </w:rPr>
      </w:pPr>
    </w:p>
    <w:p>
      <w:pPr>
        <w:ind w:firstLine="405"/>
        <w:spacing w:after="0" w:line="239" w:lineRule="auto"/>
        <w:rPr>
          <w:sz w:val="20"/>
          <w:szCs w:val="20"/>
          <w:color w:val="auto"/>
        </w:rPr>
      </w:pPr>
      <w:r>
        <w:rPr>
          <w:rFonts w:ascii="Times New Roman" w:cs="Times New Roman" w:eastAsia="Times New Roman" w:hAnsi="Times New Roman"/>
          <w:sz w:val="18"/>
          <w:szCs w:val="18"/>
          <w:color w:val="auto"/>
        </w:rPr>
        <w:t>Certain of these and other risks and uncertainties are described in IAC’s filings with the SEC, including under the caption Part I-Item 1A-Risk Factors of our annual report on 10-K for the year ended December 31, 2025, filed with the Securities and Exchange Commission on February 20, 2026 (the “Annual Report”). Other unknown or unpredictable factors that could also adversely affect IAC's business, financial condition and results of operations may arise from time to time. It is not possible for our management to predict all risks, nor can we assess the impact of all factors on our business or the extent to which any factor, or combination of factors, may cause actual results to differ materially from those expressed in any forward-looking statements we may make. Except as required by law, we undertake no obligation to update any forward-looking statements to reflect events or circumstances after the date of such statements. You should, therefore, not rely on these forward-looking statements as representing our views as of any date subsequent to the date of this quarterly report.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I-Item 1A-Risk Factors of our Annual Report. In addition to the other information set forth in this quarterly report, you should carefully consider the risk factors discussed under the caption Part I-Item 1A-Risk Factors of our Annual Report, any or all of which could materially and adversely affect IAC’s business, financial condition or results of operations. Additional risks and uncertainties not currently known to us or that we currently deem to be immaterial also may materially and adversely affect IAC’s business, financial condition and/or results of operations.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 Company did not issue or sell any shares of its common stock or any other equity securities pursuant to unregistered transactions during the quarter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purchases by the Company of shares of IAC common stock during the quarter ended 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2300" w:type="dxa"/>
            <w:vAlign w:val="bottom"/>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2300" w:type="dxa"/>
            <w:vAlign w:val="bottom"/>
          </w:tcPr>
          <w:p>
            <w:pPr>
              <w:jc w:val="cente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Maximum Number of Shares that</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2200" w:type="dxa"/>
            <w:vAlign w:val="bottom"/>
            <w:vMerge w:val="restart"/>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(a)</w:t>
            </w:r>
          </w:p>
        </w:tc>
        <w:tc>
          <w:tcPr>
            <w:tcW w:w="240" w:type="dxa"/>
            <w:vAlign w:val="bottom"/>
          </w:tcPr>
          <w:p>
            <w:pPr>
              <w:spacing w:after="0"/>
              <w:rPr>
                <w:sz w:val="11"/>
                <w:szCs w:val="11"/>
                <w:color w:val="auto"/>
              </w:rPr>
            </w:pPr>
          </w:p>
        </w:tc>
        <w:tc>
          <w:tcPr>
            <w:tcW w:w="2140" w:type="dxa"/>
            <w:vAlign w:val="bottom"/>
            <w:vMerge w:val="restart"/>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(b)</w:t>
            </w:r>
          </w:p>
        </w:tc>
        <w:tc>
          <w:tcPr>
            <w:tcW w:w="2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300" w:type="dxa"/>
            <w:vAlign w:val="bottom"/>
          </w:tcPr>
          <w:p>
            <w:pPr>
              <w:jc w:val="cente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48"/>
        </w:trPr>
        <w:tc>
          <w:tcPr>
            <w:tcW w:w="216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2300" w:type="dxa"/>
            <w:vAlign w:val="bottom"/>
          </w:tcPr>
          <w:p>
            <w:pPr>
              <w:jc w:val="cente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0" w:type="dxa"/>
            <w:vAlign w:val="bottom"/>
          </w:tcPr>
          <w:p>
            <w:pPr>
              <w:spacing w:after="0"/>
              <w:rPr>
                <w:sz w:val="1"/>
                <w:szCs w:val="1"/>
                <w:color w:val="auto"/>
              </w:rPr>
            </w:pPr>
          </w:p>
        </w:tc>
      </w:tr>
      <w:tr>
        <w:trPr>
          <w:trHeight w:val="203"/>
        </w:trPr>
        <w:tc>
          <w:tcPr>
            <w:tcW w:w="2160" w:type="dxa"/>
            <w:vAlign w:val="bottom"/>
            <w:tcBorders>
              <w:bottom w:val="single" w:sz="8" w:color="auto"/>
            </w:tcBorders>
            <w:vMerge w:val="continue"/>
          </w:tcPr>
          <w:p>
            <w:pPr>
              <w:spacing w:after="0"/>
              <w:rPr>
                <w:sz w:val="17"/>
                <w:szCs w:val="17"/>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2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(1)</w:t>
            </w:r>
          </w:p>
        </w:tc>
        <w:tc>
          <w:tcPr>
            <w:tcW w:w="2300" w:type="dxa"/>
            <w:vAlign w:val="bottom"/>
            <w:tcBorders>
              <w:bottom w:val="single" w:sz="8" w:color="auto"/>
            </w:tcBorders>
          </w:tcPr>
          <w:p>
            <w:pPr>
              <w:jc w:val="center"/>
              <w:ind w:left="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2026</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473,245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38.55</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473,245</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5,536,462</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2026</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1,146,643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36.87</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1,146,643</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4,389,819</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2026</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38.05</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1,663,433</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2,726,386</w:t>
            </w: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3,283,321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37.71</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3,283,321</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2,726,386</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82" w:lineRule="exact"/>
        <w:rPr>
          <w:sz w:val="20"/>
          <w:szCs w:val="20"/>
          <w:color w:val="auto"/>
        </w:rPr>
      </w:pPr>
    </w:p>
    <w:p>
      <w:pPr>
        <w:ind w:left="580" w:hanging="248"/>
        <w:spacing w:after="0"/>
        <w:tabs>
          <w:tab w:leader="none" w:pos="58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Reflects repurchases made pursuant to the share authorization approved by the board of directors of IAC on March 16, 2025 (the “2025 Share Authorization”).</w:t>
      </w:r>
    </w:p>
    <w:p>
      <w:pPr>
        <w:spacing w:after="0" w:line="189" w:lineRule="exact"/>
        <w:rPr>
          <w:rFonts w:ascii="Times New Roman" w:cs="Times New Roman" w:eastAsia="Times New Roman" w:hAnsi="Times New Roman"/>
          <w:sz w:val="19"/>
          <w:szCs w:val="19"/>
          <w:color w:val="auto"/>
          <w:vertAlign w:val="superscript"/>
        </w:rPr>
      </w:pPr>
    </w:p>
    <w:p>
      <w:pPr>
        <w:ind w:left="660" w:right="120" w:hanging="328"/>
        <w:spacing w:after="0" w:line="281" w:lineRule="auto"/>
        <w:tabs>
          <w:tab w:leader="none" w:pos="589"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the total number of shares of IAC common stock that remained available for repurchase as of the end of the relevant month set forth in the table above pursuant to the 2025 Share Authorization. Share repurchases can be made over an indefinite period of time in the open market and in privately negotiated transactions, depending on those factors management deems relevant at any particular time, including, without limitation, market conditions, price and future outlook.</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ind w:right="100" w:firstLine="405"/>
        <w:spacing w:after="0" w:line="239" w:lineRule="exact"/>
        <w:rPr>
          <w:sz w:val="20"/>
          <w:szCs w:val="20"/>
          <w:color w:val="auto"/>
        </w:rPr>
      </w:pPr>
      <w:r>
        <w:rPr>
          <w:rFonts w:ascii="Times New Roman" w:cs="Times New Roman" w:eastAsia="Times New Roman" w:hAnsi="Times New Roman"/>
          <w:sz w:val="18"/>
          <w:szCs w:val="18"/>
          <w:color w:val="auto"/>
        </w:rPr>
        <w:t>During the quarter ended March 31, 2026, none of the Company’s directors or officers adopted or terminated a Rule 10b5-1 trading plan or non-Rule 10b5-1 trading arrangement (as such terms are defined in Item 408(a)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31" w:lineRule="exact"/>
        <w:rPr>
          <w:sz w:val="20"/>
          <w:szCs w:val="20"/>
          <w:color w:val="auto"/>
        </w:rPr>
      </w:pPr>
    </w:p>
    <w:p>
      <w:pPr>
        <w:ind w:right="600" w:firstLine="405"/>
        <w:spacing w:after="0" w:line="260" w:lineRule="auto"/>
        <w:rPr>
          <w:sz w:val="20"/>
          <w:szCs w:val="20"/>
          <w:color w:val="auto"/>
        </w:rPr>
      </w:pPr>
      <w:r>
        <w:rPr>
          <w:rFonts w:ascii="Times New Roman" w:cs="Times New Roman" w:eastAsia="Times New Roman" w:hAnsi="Times New Roman"/>
          <w:sz w:val="18"/>
          <w:szCs w:val="18"/>
          <w:color w:val="auto"/>
        </w:rPr>
        <w:t>The documents set forth below, numbered in accordance with Item 601 of Regulation S-K, are filed herewith, incorporated by reference to the location indicated or furnished herewith.</w:t>
      </w:r>
    </w:p>
    <w:p>
      <w:pPr>
        <w:spacing w:after="0" w:line="195"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880" w:type="dxa"/>
            <w:vAlign w:val="bottom"/>
            <w:vMerge w:val="restart"/>
          </w:tcPr>
          <w:p>
            <w:pPr>
              <w:ind w:left="25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0" w:type="dxa"/>
            <w:vAlign w:val="bottom"/>
          </w:tcPr>
          <w:p>
            <w:pPr>
              <w:spacing w:after="0"/>
              <w:rPr>
                <w:sz w:val="18"/>
                <w:szCs w:val="18"/>
                <w:color w:val="auto"/>
              </w:rPr>
            </w:pPr>
          </w:p>
        </w:tc>
        <w:tc>
          <w:tcPr>
            <w:tcW w:w="3580" w:type="dxa"/>
            <w:vAlign w:val="bottom"/>
            <w:gridSpan w:val="8"/>
            <w:vMerge w:val="restart"/>
          </w:tcPr>
          <w:p>
            <w:pPr>
              <w:ind w:left="12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43"/>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88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8"/>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780" w:type="dxa"/>
            <w:vAlign w:val="bottom"/>
            <w:gridSpan w:val="2"/>
          </w:tcPr>
          <w:p>
            <w:pPr>
              <w:ind w:left="740"/>
              <w:spacing w:after="0" w:line="182" w:lineRule="exact"/>
              <w:rPr>
                <w:sz w:val="20"/>
                <w:szCs w:val="20"/>
                <w:color w:val="auto"/>
              </w:rPr>
            </w:pPr>
            <w:r>
              <w:rPr>
                <w:rFonts w:ascii="Times New Roman" w:cs="Times New Roman" w:eastAsia="Times New Roman" w:hAnsi="Times New Roman"/>
                <w:sz w:val="18"/>
                <w:szCs w:val="18"/>
                <w:color w:val="auto"/>
              </w:rPr>
              <w:t>3.1 Restated Certificate of Incorporation of IAC Inc.</w:t>
            </w:r>
          </w:p>
        </w:tc>
        <w:tc>
          <w:tcPr>
            <w:tcW w:w="3940" w:type="dxa"/>
            <w:vAlign w:val="bottom"/>
            <w:gridSpan w:val="9"/>
          </w:tcPr>
          <w:p>
            <w:pPr>
              <w:spacing w:after="0" w:line="182"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Exhibit 3.1 to the Registrant's Quarterly Report on</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388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Form 10-Q for the fiscal quarter ended June 30, 2024.</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3.2 Restated Certificate of Incorporation of IAC/InterActiveCorp (effective as of</w:t>
            </w:r>
          </w:p>
        </w:tc>
        <w:tc>
          <w:tcPr>
            <w:tcW w:w="3940" w:type="dxa"/>
            <w:vAlign w:val="bottom"/>
            <w:gridSpan w:val="9"/>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Exhibit 3.1(c) to the Registrant’s Current Report on</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58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June 30, 2020).</w:t>
            </w:r>
          </w:p>
        </w:tc>
        <w:tc>
          <w:tcPr>
            <w:tcW w:w="370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8-K filed on July 2, 2020</w:t>
              </w:r>
              <w:r>
                <w:rPr>
                  <w:rFonts w:ascii="Times New Roman" w:cs="Times New Roman" w:eastAsia="Times New Roman" w:hAnsi="Times New Roman"/>
                  <w:sz w:val="18"/>
                  <w:szCs w:val="18"/>
                  <w:color w:val="000000"/>
                </w:rPr>
                <w:t>.</w:t>
              </w:r>
            </w:hyperlink>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3.3 Certificate of Amendment of Restated Certificate of Incorporation of</w:t>
            </w:r>
          </w:p>
        </w:tc>
        <w:tc>
          <w:tcPr>
            <w:tcW w:w="36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Exhibit 4.2 to Post-Effective Amendment No. 1 on</w:t>
              </w:r>
            </w:hyperlink>
          </w:p>
        </w:tc>
        <w:tc>
          <w:tcPr>
            <w:tcW w:w="28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58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IAC/InterActiveCorp (effective as of May 25, 2021).</w:t>
            </w:r>
          </w:p>
        </w:tc>
        <w:tc>
          <w:tcPr>
            <w:tcW w:w="3940" w:type="dxa"/>
            <w:vAlign w:val="bottom"/>
            <w:gridSpan w:val="9"/>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S-8 to Registration Statement on Form S-4 (File</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39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No. 333-251656), filed by the Registrant on May 26,</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24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2021</w:t>
              </w:r>
              <w:r>
                <w:rPr>
                  <w:rFonts w:ascii="Times New Roman" w:cs="Times New Roman" w:eastAsia="Times New Roman" w:hAnsi="Times New Roman"/>
                  <w:sz w:val="18"/>
                  <w:szCs w:val="18"/>
                  <w:color w:val="000000"/>
                </w:rPr>
                <w:t>.</w:t>
              </w:r>
            </w:hyperlink>
          </w:p>
        </w:tc>
        <w:tc>
          <w:tcPr>
            <w:tcW w:w="13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880" w:type="dxa"/>
            <w:vAlign w:val="bottom"/>
            <w:vMerge w:val="restart"/>
          </w:tcPr>
          <w:p>
            <w:pPr>
              <w:ind w:left="25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940" w:type="dxa"/>
            <w:vAlign w:val="bottom"/>
            <w:gridSpan w:val="7"/>
            <w:vMerge w:val="restart"/>
          </w:tcPr>
          <w:p>
            <w:pPr>
              <w:ind w:left="16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43"/>
        </w:trPr>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880" w:type="dxa"/>
            <w:vAlign w:val="bottom"/>
            <w:tcBorders>
              <w:bottom w:val="single" w:sz="8" w:color="auto"/>
            </w:tcBorders>
            <w:vMerge w:val="continue"/>
          </w:tcPr>
          <w:p>
            <w:pPr>
              <w:spacing w:after="0"/>
              <w:rPr>
                <w:sz w:val="21"/>
                <w:szCs w:val="21"/>
                <w:color w:val="auto"/>
              </w:rPr>
            </w:pPr>
          </w:p>
        </w:tc>
        <w:tc>
          <w:tcPr>
            <w:tcW w:w="3940" w:type="dxa"/>
            <w:vAlign w:val="bottom"/>
            <w:tcBorders>
              <w:bottom w:val="single" w:sz="8" w:color="auto"/>
            </w:tcBorders>
            <w:gridSpan w:val="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780" w:type="dxa"/>
            <w:vAlign w:val="bottom"/>
            <w:gridSpan w:val="2"/>
          </w:tcPr>
          <w:p>
            <w:pPr>
              <w:ind w:left="740"/>
              <w:spacing w:after="0" w:line="182" w:lineRule="exact"/>
              <w:rPr>
                <w:sz w:val="20"/>
                <w:szCs w:val="20"/>
                <w:color w:val="auto"/>
              </w:rPr>
            </w:pPr>
            <w:r>
              <w:rPr>
                <w:rFonts w:ascii="Times New Roman" w:cs="Times New Roman" w:eastAsia="Times New Roman" w:hAnsi="Times New Roman"/>
                <w:sz w:val="18"/>
                <w:szCs w:val="18"/>
                <w:color w:val="auto"/>
              </w:rPr>
              <w:t>3.4 Certificate of Amendment of Restated Certificate of Incorporation of</w:t>
            </w:r>
          </w:p>
        </w:tc>
        <w:tc>
          <w:tcPr>
            <w:tcW w:w="3940" w:type="dxa"/>
            <w:vAlign w:val="bottom"/>
            <w:gridSpan w:val="7"/>
          </w:tcPr>
          <w:p>
            <w:pPr>
              <w:spacing w:after="0" w:line="182"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Exhibit 3.1 to the Registrant's Current Report on</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58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IAC/InterActiveCorp (effective as of August 11, 2022).</w:t>
            </w:r>
          </w:p>
        </w:tc>
        <w:tc>
          <w:tcPr>
            <w:tcW w:w="348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8-K, filed on August 12,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720" w:type="dxa"/>
            <w:vAlign w:val="bottom"/>
            <w:gridSpan w:val="9"/>
          </w:tcPr>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3.5 Certificate of Amendment of Restated Certificate of Incorporation of IAC Inc.  </w:t>
            </w:r>
            <w:hyperlink r:id="rId118">
              <w:r>
                <w:rPr>
                  <w:rFonts w:ascii="Times New Roman" w:cs="Times New Roman" w:eastAsia="Times New Roman" w:hAnsi="Times New Roman"/>
                  <w:sz w:val="18"/>
                  <w:szCs w:val="18"/>
                  <w:color w:val="0000FF"/>
                </w:rPr>
                <w:t>Exhibit 3.1 to the Registrant's Current Report on</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58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(effective as of June 12, 2024).</w:t>
            </w:r>
          </w:p>
        </w:tc>
        <w:tc>
          <w:tcPr>
            <w:tcW w:w="348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8-K, filed on June 13, 2024</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3.6 Certificate of Designations of Series A Cumulative Preferred Stock.</w:t>
            </w:r>
          </w:p>
        </w:tc>
        <w:tc>
          <w:tcPr>
            <w:tcW w:w="3940" w:type="dxa"/>
            <w:vAlign w:val="bottom"/>
            <w:gridSpan w:val="7"/>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Exhibit 3.2 to the Registrant’s Current Report on</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350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8-K filed on July 2, 2020</w:t>
              </w:r>
              <w:r>
                <w:rPr>
                  <w:rFonts w:ascii="Times New Roman" w:cs="Times New Roman" w:eastAsia="Times New Roman" w:hAnsi="Times New Roman"/>
                  <w:sz w:val="18"/>
                  <w:szCs w:val="18"/>
                  <w:color w:val="000000"/>
                </w:rPr>
                <w:t>.</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3.7 Amended and Restated By-Laws of IAC Inc.</w:t>
            </w:r>
          </w:p>
        </w:tc>
        <w:tc>
          <w:tcPr>
            <w:tcW w:w="3940" w:type="dxa"/>
            <w:vAlign w:val="bottom"/>
            <w:gridSpan w:val="7"/>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Exhibit 3.1 to the Registrant's Current Report on</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348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8-K, filed on September 18, 2023.</w:t>
              </w:r>
            </w:hyperlink>
          </w:p>
        </w:tc>
        <w:tc>
          <w:tcPr>
            <w:tcW w:w="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ectPr>
          <w:pgSz w:w="11900" w:h="16838" w:orient="portrait"/>
          <w:cols w:equalWidth="0" w:num="1">
            <w:col w:w="11140"/>
          </w:cols>
          <w:pgMar w:left="320" w:top="118" w:right="439" w:bottom="1440" w:gutter="0" w:footer="0" w:header="0"/>
        </w:sectPr>
      </w:pPr>
    </w:p>
    <w:p>
      <w:pPr>
        <w:ind w:left="1060"/>
        <w:spacing w:after="0"/>
        <w:rPr>
          <w:sz w:val="20"/>
          <w:szCs w:val="20"/>
          <w:color w:val="auto"/>
        </w:rPr>
      </w:pPr>
      <w:r>
        <w:rPr>
          <w:rFonts w:ascii="Times New Roman" w:cs="Times New Roman" w:eastAsia="Times New Roman" w:hAnsi="Times New Roman"/>
          <w:sz w:val="18"/>
          <w:szCs w:val="18"/>
          <w:color w:val="auto"/>
        </w:rPr>
        <w:t>10.1 MGM Voting Agreement (effective as of April 3, 2026).</w:t>
      </w:r>
    </w:p>
    <w:p>
      <w:pPr>
        <w:spacing w:after="0" w:line="212" w:lineRule="exact"/>
        <w:rPr>
          <w:sz w:val="20"/>
          <w:szCs w:val="20"/>
          <w:color w:val="auto"/>
        </w:rPr>
      </w:pPr>
    </w:p>
    <w:p>
      <w:pPr>
        <w:jc w:val="both"/>
        <w:ind w:left="1420" w:right="40" w:hanging="350"/>
        <w:spacing w:after="0" w:line="226" w:lineRule="auto"/>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Certification of the Chairman and Senior Executive pursuant to Rule 13a-14(a)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Rule 15d-14(a) of the Securities Exchange Act of 1934 as adopted pursuant to Section 302 of the Sarbanes-Oxley Act.(1)</w:t>
      </w:r>
    </w:p>
    <w:p>
      <w:pPr>
        <w:spacing w:after="0" w:line="9" w:lineRule="exact"/>
        <w:rPr>
          <w:sz w:val="20"/>
          <w:szCs w:val="20"/>
          <w:color w:val="auto"/>
        </w:rPr>
      </w:pPr>
    </w:p>
    <w:p>
      <w:pPr>
        <w:ind w:left="1420" w:right="100" w:hanging="350"/>
        <w:spacing w:after="0" w:line="226" w:lineRule="auto"/>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Certification of the Chief Financial Officer pursuant to Rule 13a-14(a)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Rule 15d-14(a) of the Securities Exchange Act of 1934 as adopted pursuant to Section 302 of the Sarbanes-Oxley Act.(1)</w:t>
      </w:r>
    </w:p>
    <w:p>
      <w:pPr>
        <w:spacing w:after="0" w:line="9" w:lineRule="exact"/>
        <w:rPr>
          <w:sz w:val="20"/>
          <w:szCs w:val="20"/>
          <w:color w:val="auto"/>
        </w:rPr>
      </w:pPr>
    </w:p>
    <w:p>
      <w:pPr>
        <w:ind w:left="1420" w:hanging="350"/>
        <w:spacing w:after="0" w:line="237" w:lineRule="auto"/>
        <w:rPr>
          <w:sz w:val="20"/>
          <w:szCs w:val="20"/>
          <w:color w:val="auto"/>
        </w:rPr>
      </w:pP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Certification of the Chairman and Senior Executive pursuant to 18 U.S.C.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Section 1350 as adopted pursuant to Section 906 of the Sarbanes-Oxley Act.(2)</w:t>
      </w:r>
    </w:p>
    <w:p>
      <w:pPr>
        <w:spacing w:after="0" w:line="10" w:lineRule="exact"/>
        <w:rPr>
          <w:sz w:val="20"/>
          <w:szCs w:val="20"/>
          <w:color w:val="auto"/>
        </w:rPr>
      </w:pPr>
    </w:p>
    <w:p>
      <w:pPr>
        <w:ind w:left="1420" w:right="40" w:hanging="350"/>
        <w:spacing w:after="0" w:line="237" w:lineRule="auto"/>
        <w:rPr>
          <w:sz w:val="20"/>
          <w:szCs w:val="20"/>
          <w:color w:val="auto"/>
        </w:rPr>
      </w:pP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Certification of the Chief Financial Officer pursuant to 18 U.S.C. Section 1350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adopted pursuant to Section 906 of the Sarbanes-Oxley Act.(2)</w:t>
      </w:r>
    </w:p>
    <w:p>
      <w:pPr>
        <w:spacing w:after="0" w:line="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101.INS Inline XBRL Instance.(1)</w:t>
      </w:r>
    </w:p>
    <w:p>
      <w:pPr>
        <w:spacing w:after="0" w:line="3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101.SCH Inline XBRL Taxonomy Extension Schema.(1)</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101.CAL Inline XBRL Taxonomy Extension Calculation.(1)</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101.DEF Inline XBRL Taxonomy Extension Definition.(1)</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101.LAB Inline XBRL Taxonomy Extension Labels.(1)</w:t>
      </w:r>
    </w:p>
    <w:p>
      <w:pPr>
        <w:spacing w:after="0" w:line="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101.PRE Inline XBRL Taxonomy Extension Presentation.(1)</w:t>
      </w:r>
    </w:p>
    <w:p>
      <w:pPr>
        <w:spacing w:after="0" w:line="20" w:lineRule="exact"/>
        <w:rPr>
          <w:sz w:val="20"/>
          <w:szCs w:val="20"/>
          <w:color w:val="auto"/>
        </w:rPr>
      </w:pPr>
      <w:r>
        <w:rPr>
          <w:sz w:val="20"/>
          <w:szCs w:val="20"/>
          <w:color w:val="auto"/>
        </w:rPr>
        <w:br w:type="column"/>
      </w:r>
    </w:p>
    <w:p>
      <w:pPr>
        <w:ind w:right="340"/>
        <w:spacing w:after="0" w:line="237"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Exhibit 99.1 to the Registrant’s Current Report on</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Form 8-K filed on April 7, 2026.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600"/>
        <w:spacing w:after="0" w:line="239" w:lineRule="auto"/>
        <w:rPr>
          <w:sz w:val="20"/>
          <w:szCs w:val="20"/>
          <w:color w:val="auto"/>
        </w:rPr>
      </w:pPr>
      <w:r>
        <w:rPr>
          <w:rFonts w:ascii="Times New Roman" w:cs="Times New Roman" w:eastAsia="Times New Roman" w:hAnsi="Times New Roman"/>
          <w:sz w:val="17"/>
          <w:szCs w:val="17"/>
          <w:color w:val="auto"/>
        </w:rPr>
        <w:t>The instance document does not appear in the interactive data file because its XBRL tags are embedded within the Inline XBRL document.</w:t>
      </w:r>
    </w:p>
    <w:p>
      <w:pPr>
        <w:spacing w:after="0" w:line="1162" w:lineRule="exact"/>
        <w:rPr>
          <w:sz w:val="20"/>
          <w:szCs w:val="20"/>
          <w:color w:val="auto"/>
        </w:rPr>
      </w:pPr>
    </w:p>
    <w:p>
      <w:pPr>
        <w:sectPr>
          <w:pgSz w:w="11900" w:h="16838" w:orient="portrait"/>
          <w:cols w:equalWidth="0" w:num="2">
            <w:col w:w="7140" w:space="60"/>
            <w:col w:w="3940"/>
          </w:cols>
          <w:pgMar w:left="320" w:top="118" w:right="439" w:bottom="1440" w:gutter="0" w:footer="0" w:header="0"/>
          <w:type w:val="continuous"/>
        </w:sectPr>
      </w:pPr>
    </w:p>
    <w:p>
      <w:pPr>
        <w:ind w:left="1420" w:right="4140" w:hanging="305"/>
        <w:spacing w:after="0" w:line="234" w:lineRule="auto"/>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17"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40"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Dated:</w:t>
        <w:tab/>
        <w:t>May 4, 2026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IAC INC.</w:t>
      </w:r>
    </w:p>
    <w:p>
      <w:pPr>
        <w:spacing w:after="0" w:line="288" w:lineRule="exact"/>
        <w:rPr>
          <w:sz w:val="20"/>
          <w:szCs w:val="20"/>
          <w:color w:val="auto"/>
        </w:rPr>
      </w:pPr>
    </w:p>
    <w:p>
      <w:pPr>
        <w:ind w:left="5080"/>
        <w:spacing w:after="0"/>
        <w:tabs>
          <w:tab w:leader="none" w:pos="7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HALPIN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Christopher Halpin</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Executive Vice President, Chief Operating Officer and Chief</w:t>
      </w:r>
    </w:p>
    <w:p>
      <w:pPr>
        <w:ind w:left="8060"/>
        <w:spacing w:after="0"/>
        <w:rPr>
          <w:sz w:val="20"/>
          <w:szCs w:val="20"/>
          <w:color w:val="auto"/>
        </w:rPr>
      </w:pPr>
      <w:r>
        <w:rPr>
          <w:rFonts w:ascii="Times New Roman" w:cs="Times New Roman" w:eastAsia="Times New Roman" w:hAnsi="Times New Roman"/>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780" w:type="dxa"/>
            <w:vAlign w:val="bottom"/>
          </w:tcPr>
          <w:p>
            <w:pPr>
              <w:spacing w:after="0"/>
              <w:rPr>
                <w:sz w:val="13"/>
                <w:szCs w:val="13"/>
                <w:color w:val="auto"/>
              </w:rPr>
            </w:pPr>
          </w:p>
        </w:tc>
        <w:tc>
          <w:tcPr>
            <w:tcW w:w="3200" w:type="dxa"/>
            <w:vAlign w:val="bottom"/>
            <w:gridSpan w:val="2"/>
          </w:tcPr>
          <w:p>
            <w:pPr>
              <w:jc w:val="center"/>
              <w:ind w:right="29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560" w:type="dxa"/>
            <w:vAlign w:val="bottom"/>
          </w:tcPr>
          <w:p>
            <w:pPr>
              <w:spacing w:after="0"/>
              <w:rPr>
                <w:sz w:val="13"/>
                <w:szCs w:val="13"/>
                <w:color w:val="auto"/>
              </w:rPr>
            </w:pP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8"/>
        </w:trPr>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98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color w:val="auto"/>
                <w:w w:val="99"/>
              </w:rPr>
              <w:t>Executive Vice President, Chief Operating Officer</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3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CHRISTOPHER HALPIN</w:t>
            </w:r>
          </w:p>
        </w:tc>
        <w:tc>
          <w:tcPr>
            <w:tcW w:w="498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color w:val="auto"/>
                <w:w w:val="99"/>
              </w:rPr>
              <w:t>and Chief Financial Officer</w:t>
            </w:r>
          </w:p>
        </w:tc>
        <w:tc>
          <w:tcPr>
            <w:tcW w:w="21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rPr>
              <w:t>May 4, 2026</w:t>
            </w:r>
          </w:p>
        </w:tc>
      </w:tr>
      <w:tr>
        <w:trPr>
          <w:trHeight w:val="228"/>
        </w:trPr>
        <w:tc>
          <w:tcPr>
            <w:tcW w:w="3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Christopher Halpin</w:t>
            </w: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860"/>
          </w:cols>
          <w:pgMar w:left="320" w:top="118" w:right="7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Barry Diller, certify that:</w:t>
      </w:r>
    </w:p>
    <w:p>
      <w:pPr>
        <w:spacing w:after="0" w:line="117"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IAC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780" w:val="left"/>
          <w:tab w:leader="none" w:pos="6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May 4, 2026</w:t>
      </w:r>
      <w:r>
        <w:rPr>
          <w:sz w:val="20"/>
          <w:szCs w:val="20"/>
          <w:color w:val="auto"/>
        </w:rPr>
        <w:tab/>
      </w:r>
      <w:r>
        <w:rPr>
          <w:rFonts w:ascii="Times New Roman" w:cs="Times New Roman" w:eastAsia="Times New Roman" w:hAnsi="Times New Roman"/>
          <w:sz w:val="17"/>
          <w:szCs w:val="17"/>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Barry Diller</w:t>
      </w:r>
    </w:p>
    <w:p>
      <w:pPr>
        <w:ind w:left="6180"/>
        <w:spacing w:after="0"/>
        <w:rPr>
          <w:sz w:val="20"/>
          <w:szCs w:val="20"/>
          <w:color w:val="auto"/>
        </w:rPr>
      </w:pPr>
      <w:r>
        <w:rPr>
          <w:rFonts w:ascii="Times New Roman" w:cs="Times New Roman" w:eastAsia="Times New Roman" w:hAnsi="Times New Roman"/>
          <w:sz w:val="18"/>
          <w:szCs w:val="18"/>
          <w:i w:val="1"/>
          <w:iCs w:val="1"/>
          <w:color w:val="auto"/>
        </w:rPr>
        <w:t>Chairman and Senior Executive</w:t>
      </w:r>
    </w:p>
    <w:p>
      <w:pPr>
        <w:sectPr>
          <w:pgSz w:w="11900" w:h="16838" w:orient="portrait"/>
          <w:cols w:equalWidth="0" w:num="1">
            <w:col w:w="11240"/>
          </w:cols>
          <w:pgMar w:left="320" w:top="995"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Christopher Halpin, certify that:</w:t>
      </w:r>
    </w:p>
    <w:p>
      <w:pPr>
        <w:spacing w:after="0" w:line="117"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IAC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780" w:val="left"/>
          <w:tab w:leader="none" w:pos="6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May 4, 2026</w:t>
      </w:r>
      <w:r>
        <w:rPr>
          <w:sz w:val="20"/>
          <w:szCs w:val="20"/>
          <w:color w:val="auto"/>
        </w:rPr>
        <w:tab/>
      </w:r>
      <w:r>
        <w:rPr>
          <w:rFonts w:ascii="Times New Roman" w:cs="Times New Roman" w:eastAsia="Times New Roman" w:hAnsi="Times New Roman"/>
          <w:sz w:val="17"/>
          <w:szCs w:val="17"/>
          <w:color w:val="auto"/>
        </w:rPr>
        <w:t>/s/ CHRISTOPHER HALPIN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Christopher Halpin</w:t>
      </w:r>
    </w:p>
    <w:p>
      <w:pPr>
        <w:ind w:left="6180"/>
        <w:spacing w:after="0" w:line="203" w:lineRule="auto"/>
        <w:rPr>
          <w:sz w:val="20"/>
          <w:szCs w:val="20"/>
          <w:color w:val="auto"/>
        </w:rPr>
      </w:pPr>
      <w:r>
        <w:rPr>
          <w:rFonts w:ascii="Times New Roman" w:cs="Times New Roman" w:eastAsia="Times New Roman" w:hAnsi="Times New Roman"/>
          <w:sz w:val="18"/>
          <w:szCs w:val="18"/>
          <w:i w:val="1"/>
          <w:iCs w:val="1"/>
          <w:color w:val="auto"/>
        </w:rPr>
        <w:t>Executive Vice President, Chief Operating Officer and Chief</w:t>
      </w:r>
    </w:p>
    <w:p>
      <w:pPr>
        <w:ind w:left="6180"/>
        <w:spacing w:after="0"/>
        <w:rPr>
          <w:sz w:val="20"/>
          <w:szCs w:val="20"/>
          <w:color w:val="auto"/>
        </w:rPr>
      </w:pPr>
      <w:r>
        <w:rPr>
          <w:rFonts w:ascii="Times New Roman" w:cs="Times New Roman" w:eastAsia="Times New Roman" w:hAnsi="Times New Roman"/>
          <w:sz w:val="18"/>
          <w:szCs w:val="18"/>
          <w:i w:val="1"/>
          <w:iCs w:val="1"/>
          <w:color w:val="auto"/>
        </w:rPr>
        <w:t>Financial Officer</w:t>
      </w:r>
    </w:p>
    <w:p>
      <w:pPr>
        <w:sectPr>
          <w:pgSz w:w="11900" w:h="16838" w:orient="portrait"/>
          <w:cols w:equalWidth="0" w:num="1">
            <w:col w:w="11240"/>
          </w:cols>
          <w:pgMar w:left="320" w:top="995"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Barry Diller, certify, pursuant to Section 906 of the Sarbanes-Oxley Act of 2002, 18 U.S.C. Section 1350, that, to my knowledge:</w:t>
      </w:r>
    </w:p>
    <w:p>
      <w:pPr>
        <w:spacing w:after="0" w:line="158" w:lineRule="exact"/>
        <w:rPr>
          <w:sz w:val="20"/>
          <w:szCs w:val="20"/>
          <w:color w:val="auto"/>
        </w:rPr>
      </w:pPr>
    </w:p>
    <w:p>
      <w:pPr>
        <w:ind w:left="660" w:right="480" w:hanging="652"/>
        <w:spacing w:after="0" w:line="282"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2026 of IAC Inc. (the "Report") which this statement accompanies fully complies with the requirements of Section 13(a) or 15(d) of the Securities Exchange Act of 1934 (15 U.S.C. 78m or 78o(d)); and</w:t>
      </w:r>
    </w:p>
    <w:p>
      <w:pPr>
        <w:spacing w:after="0" w:line="188"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IAC Inc.</w:t>
      </w:r>
    </w:p>
    <w:p>
      <w:pPr>
        <w:spacing w:after="0" w:line="374" w:lineRule="exact"/>
        <w:rPr>
          <w:sz w:val="20"/>
          <w:szCs w:val="20"/>
          <w:color w:val="auto"/>
        </w:rPr>
      </w:pPr>
    </w:p>
    <w:p>
      <w:pPr>
        <w:ind w:left="20"/>
        <w:spacing w:after="0"/>
        <w:tabs>
          <w:tab w:leader="none" w:pos="780" w:val="left"/>
          <w:tab w:leader="none" w:pos="6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May 4, 2026</w:t>
      </w:r>
      <w:r>
        <w:rPr>
          <w:sz w:val="20"/>
          <w:szCs w:val="20"/>
          <w:color w:val="auto"/>
        </w:rPr>
        <w:tab/>
      </w:r>
      <w:r>
        <w:rPr>
          <w:rFonts w:ascii="Times New Roman" w:cs="Times New Roman" w:eastAsia="Times New Roman" w:hAnsi="Times New Roman"/>
          <w:sz w:val="17"/>
          <w:szCs w:val="17"/>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Barry Diller</w:t>
      </w:r>
    </w:p>
    <w:p>
      <w:pPr>
        <w:spacing w:after="0" w:line="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Chairman and Senior Executive</w:t>
      </w:r>
    </w:p>
    <w:p>
      <w:pPr>
        <w:sectPr>
          <w:pgSz w:w="11900" w:h="16838" w:orient="portrait"/>
          <w:cols w:equalWidth="0" w:num="1">
            <w:col w:w="11240"/>
          </w:cols>
          <w:pgMar w:left="320" w:top="1035"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Christopher Halpin, certify, pursuant to Section 906 of the Sarbanes-Oxley Act of 2002, 18 U.S.C. Section 1350, that, to my knowledge:</w:t>
      </w:r>
    </w:p>
    <w:p>
      <w:pPr>
        <w:spacing w:after="0" w:line="158" w:lineRule="exact"/>
        <w:rPr>
          <w:sz w:val="20"/>
          <w:szCs w:val="20"/>
          <w:color w:val="auto"/>
        </w:rPr>
      </w:pPr>
    </w:p>
    <w:p>
      <w:pPr>
        <w:ind w:left="660" w:right="480" w:hanging="652"/>
        <w:spacing w:after="0" w:line="282"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2026 of IAC Inc. (the "Report") which this statement accompanies fully complies with the requirements of Section 13(a) or 15(d) of the Securities Exchange Act of 1934 (15 U.S.C. 78m or 78o(d)); and</w:t>
      </w:r>
    </w:p>
    <w:p>
      <w:pPr>
        <w:spacing w:after="0" w:line="188"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IAC Inc.</w:t>
      </w:r>
    </w:p>
    <w:p>
      <w:pPr>
        <w:spacing w:after="0" w:line="374" w:lineRule="exact"/>
        <w:rPr>
          <w:sz w:val="20"/>
          <w:szCs w:val="20"/>
          <w:color w:val="auto"/>
        </w:rPr>
      </w:pPr>
    </w:p>
    <w:p>
      <w:pPr>
        <w:ind w:left="20"/>
        <w:spacing w:after="0"/>
        <w:tabs>
          <w:tab w:leader="none" w:pos="780" w:val="left"/>
          <w:tab w:leader="none" w:pos="6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May 4, 2026</w:t>
      </w:r>
      <w:r>
        <w:rPr>
          <w:sz w:val="20"/>
          <w:szCs w:val="20"/>
          <w:color w:val="auto"/>
        </w:rPr>
        <w:tab/>
      </w:r>
      <w:r>
        <w:rPr>
          <w:rFonts w:ascii="Times New Roman" w:cs="Times New Roman" w:eastAsia="Times New Roman" w:hAnsi="Times New Roman"/>
          <w:sz w:val="17"/>
          <w:szCs w:val="17"/>
          <w:color w:val="auto"/>
        </w:rPr>
        <w:t>/s/ CHRISTOPHER HALPIN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Christopher Halpin</w:t>
      </w:r>
    </w:p>
    <w:p>
      <w:pPr>
        <w:ind w:left="6180"/>
        <w:spacing w:after="0" w:line="205" w:lineRule="auto"/>
        <w:rPr>
          <w:sz w:val="20"/>
          <w:szCs w:val="20"/>
          <w:color w:val="auto"/>
        </w:rPr>
      </w:pPr>
      <w:r>
        <w:rPr>
          <w:rFonts w:ascii="Times New Roman" w:cs="Times New Roman" w:eastAsia="Times New Roman" w:hAnsi="Times New Roman"/>
          <w:sz w:val="18"/>
          <w:szCs w:val="18"/>
          <w:i w:val="1"/>
          <w:iCs w:val="1"/>
          <w:color w:val="auto"/>
        </w:rPr>
        <w:t>Executive Vice President, Chief Operating Officer and Chief</w:t>
      </w:r>
    </w:p>
    <w:p>
      <w:pPr>
        <w:spacing w:after="0" w:line="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Letter"/>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lowerLetter"/>
      <w:start w:val="3"/>
    </w:lvl>
  </w:abstractNum>
  <w:abstractNum w:abstractNumId="4">
    <w:nsid w:val="257130A3"/>
    <w:multiLevelType w:val="hybridMultilevel"/>
    <w:lvl w:ilvl="0">
      <w:lvlJc w:val="left"/>
      <w:lvlText w:val="(%1)"/>
      <w:numFmt w:val="lowerLetter"/>
      <w:start w:val="7"/>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2"/>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
      <w:numFmt w:val="bullet"/>
      <w:start w:val="1"/>
    </w:lvl>
    <w:lvl w:ilvl="1">
      <w:lvlJc w:val="left"/>
      <w:lvlText w:val="•"/>
      <w:numFmt w:val="bullet"/>
      <w:start w:val="1"/>
    </w:lvl>
  </w:abstractNum>
  <w:abstractNum w:abstractNumId="10">
    <w:nsid w:val="2443A858"/>
    <w:multiLevelType w:val="hybridMultilevel"/>
    <w:lvl w:ilvl="0">
      <w:lvlJc w:val="left"/>
      <w:lvlText w:val="•"/>
      <w:numFmt w:val="bullet"/>
      <w:start w:val="1"/>
    </w:lvl>
    <w:lvl w:ilvl="1">
      <w:lvlJc w:val="left"/>
      <w:lvlText w:val="◦"/>
      <w:numFmt w:val="bullet"/>
      <w:start w:val="1"/>
    </w:lvl>
  </w:abstractNum>
  <w:abstractNum w:abstractNumId="11">
    <w:nsid w:val="2D1D5AE9"/>
    <w:multiLevelType w:val="hybridMultilevel"/>
    <w:lvl w:ilvl="0">
      <w:lvlJc w:val="left"/>
      <w:lvlText w:val="•"/>
      <w:numFmt w:val="bullet"/>
      <w:start w:val="1"/>
    </w:lvl>
    <w:lvl w:ilvl="1">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lvl w:ilvl="1">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lvl w:ilvl="1">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lvl w:ilvl="1">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Letter"/>
      <w:start w:val="2"/>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6"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13" Type="http://schemas.openxmlformats.org/officeDocument/2006/relationships/hyperlink" Target="https://www.sec.gov/Archives/edgar/data/1800227/000180022724000039/iac-ex31_2024630.htm" TargetMode="External"/><Relationship Id="rId114" Type="http://schemas.openxmlformats.org/officeDocument/2006/relationships/hyperlink" Target="https://www.sec.gov/Archives/edgar/data/1800227/000110465920080610/tm2022502d7_ex3-1c.htm" TargetMode="External"/><Relationship Id="rId115" Type="http://schemas.openxmlformats.org/officeDocument/2006/relationships/hyperlink" Target="https://www.sec.gov/Archives/edgar/data/1800227/000110465921072522/tm2116546d4_ex4-2.htm" TargetMode="External"/><Relationship Id="rId117" Type="http://schemas.openxmlformats.org/officeDocument/2006/relationships/hyperlink" Target="https://www.sec.gov/Archives/edgar/data/1800227/000110465922090069/tm2223192d1_ex3-1.htm" TargetMode="External"/><Relationship Id="rId118" Type="http://schemas.openxmlformats.org/officeDocument/2006/relationships/hyperlink" Target="https://www.sec.gov/Archives/edgar/data/1800227/000110465924071290/tm2417101d2_ex3-1.htm" TargetMode="External"/><Relationship Id="rId119" Type="http://schemas.openxmlformats.org/officeDocument/2006/relationships/hyperlink" Target="https://www.sec.gov/Archives/edgar/data/1800227/000110465920080610/tm2022502d7_ex3-2.htm" TargetMode="External"/><Relationship Id="rId120" Type="http://schemas.openxmlformats.org/officeDocument/2006/relationships/hyperlink" Target="https://www.sec.gov/Archives/edgar/data/1800227/000110465923101579/tm2326306d1_ex3-1.htm" TargetMode="External"/><Relationship Id="rId121" Type="http://schemas.openxmlformats.org/officeDocument/2006/relationships/hyperlink" Target="https://www.sec.gov/Archives/edgar/data/1800227/000110465926040419/tm2611031d2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2026-05-04T15:19:28Z</dcterms:created>
  <dcterms:modified xsi:type="dcterms:W3CDTF">2026-05-04T15:19:28Z</dcterms:modified>
</cp:coreProperties>
</file>