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People Incorporated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86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001-39356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84-3727412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862" w:right="339" w:bottom="1440" w:gutter="0" w:footer="0" w:header="0"/>
          <w:type w:val="continuous"/>
        </w:sectPr>
      </w:pPr>
    </w:p>
    <w:p>
      <w:pPr>
        <w:spacing w:after="0" w:line="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555 West 18th Street, New York, NY</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10011</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86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(212) 314-7300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PPLI</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212529"/>
        </w:rPr>
        <w:t>On October 27, 2026, People Incorporated, a Delaware corporation (“</w:t>
      </w:r>
      <w:r>
        <w:rPr>
          <w:rFonts w:ascii="Times New Roman" w:cs="Times New Roman" w:eastAsia="Times New Roman" w:hAnsi="Times New Roman"/>
          <w:sz w:val="18"/>
          <w:szCs w:val="18"/>
          <w:u w:val="single" w:color="auto"/>
          <w:color w:val="212529"/>
        </w:rPr>
        <w:t>People</w:t>
      </w:r>
      <w:r>
        <w:rPr>
          <w:rFonts w:ascii="Times New Roman" w:cs="Times New Roman" w:eastAsia="Times New Roman" w:hAnsi="Times New Roman"/>
          <w:sz w:val="18"/>
          <w:szCs w:val="18"/>
          <w:color w:val="212529"/>
        </w:rPr>
        <w:t>”), entered into an amendment (the “</w:t>
      </w:r>
      <w:r>
        <w:rPr>
          <w:rFonts w:ascii="Times New Roman" w:cs="Times New Roman" w:eastAsia="Times New Roman" w:hAnsi="Times New Roman"/>
          <w:sz w:val="18"/>
          <w:szCs w:val="18"/>
          <w:u w:val="single" w:color="auto"/>
          <w:color w:val="212529"/>
        </w:rPr>
        <w:t>Amendment</w:t>
      </w:r>
      <w:r>
        <w:rPr>
          <w:rFonts w:ascii="Times New Roman" w:cs="Times New Roman" w:eastAsia="Times New Roman" w:hAnsi="Times New Roman"/>
          <w:sz w:val="18"/>
          <w:szCs w:val="18"/>
          <w:color w:val="212529"/>
        </w:rPr>
        <w:t>”) to the Voting Agreement (the “</w:t>
      </w:r>
      <w:r>
        <w:rPr>
          <w:rFonts w:ascii="Times New Roman" w:cs="Times New Roman" w:eastAsia="Times New Roman" w:hAnsi="Times New Roman"/>
          <w:sz w:val="18"/>
          <w:szCs w:val="18"/>
          <w:u w:val="single" w:color="auto"/>
          <w:color w:val="212529"/>
        </w:rPr>
        <w:t>Voting Agreement</w:t>
      </w:r>
      <w:r>
        <w:rPr>
          <w:rFonts w:ascii="Times New Roman" w:cs="Times New Roman" w:eastAsia="Times New Roman" w:hAnsi="Times New Roman"/>
          <w:sz w:val="18"/>
          <w:szCs w:val="18"/>
          <w:color w:val="212529"/>
        </w:rPr>
        <w:t>”), dated April 3, 2026, MGM Resorts International, a Delaware corporation (“</w:t>
      </w:r>
      <w:r>
        <w:rPr>
          <w:rFonts w:ascii="Times New Roman" w:cs="Times New Roman" w:eastAsia="Times New Roman" w:hAnsi="Times New Roman"/>
          <w:sz w:val="18"/>
          <w:szCs w:val="18"/>
          <w:u w:val="single" w:color="auto"/>
          <w:color w:val="212529"/>
        </w:rPr>
        <w:t>MGM</w:t>
      </w:r>
      <w:r>
        <w:rPr>
          <w:rFonts w:ascii="Times New Roman" w:cs="Times New Roman" w:eastAsia="Times New Roman" w:hAnsi="Times New Roman"/>
          <w:sz w:val="18"/>
          <w:szCs w:val="18"/>
          <w:color w:val="212529"/>
        </w:rPr>
        <w:t>”), and Barry Diller. Except as expressly modified by the Amendment, the terms and conditions of the Voting Agreement, including the termination provisions thereof, remain unchanged and in full force and effect.</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212529"/>
        </w:rPr>
        <w:t>Pursuant to the Amendment, People, Mr. Diller and their respective controlled affiliates (collectively, the “</w:t>
      </w:r>
      <w:r>
        <w:rPr>
          <w:rFonts w:ascii="Times New Roman" w:cs="Times New Roman" w:eastAsia="Times New Roman" w:hAnsi="Times New Roman"/>
          <w:sz w:val="18"/>
          <w:szCs w:val="18"/>
          <w:u w:val="single" w:color="auto"/>
          <w:color w:val="212529"/>
        </w:rPr>
        <w:t>Covered Entities</w:t>
      </w:r>
      <w:r>
        <w:rPr>
          <w:rFonts w:ascii="Times New Roman" w:cs="Times New Roman" w:eastAsia="Times New Roman" w:hAnsi="Times New Roman"/>
          <w:sz w:val="18"/>
          <w:szCs w:val="18"/>
          <w:color w:val="212529"/>
        </w:rPr>
        <w:t>”) agreed not to acquire securities of MGM (or related derivative instruments) if doing so would cause their aggregate beneficial ownership to exceed 29.9% of MGM’s outstanding common stock, except that an increase above that threshold resulting from MGM’s own repurchases, redemptions or other acquisitions of its securities will not constitute a breach, so long as the Covered Entities make no further acquisitions while above 29.9%.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Additionally, at any time a matter, other than a change of control transaction, is brought to a stockholder vote or consent of MGM’s stockholders, the Covered Entities will vote any voting securities they beneficially own in excess of 25.73% of the total voting power of the outstanding voting securities of MGM on each matter in the same manner as the majority of the voting securities of MGM (other than those held by (x) the Covered Entities, (y) MGM’s directors and executive officers, and (z) any controlled affiliates of MGM’s directors or executive officers) are voted on such matters (disregarding voting securities that are not voted).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any vote or consent of MGM’s stockholders in connection with a change of control transaction, the Covered Entities will vote all voting securities they beneficially own in accordance with the recommendation of MGM’s Board of Directors (the “</w:t>
      </w:r>
      <w:r>
        <w:rPr>
          <w:rFonts w:ascii="Times New Roman" w:cs="Times New Roman" w:eastAsia="Times New Roman" w:hAnsi="Times New Roman"/>
          <w:sz w:val="18"/>
          <w:szCs w:val="18"/>
          <w:u w:val="single" w:color="auto"/>
          <w:color w:val="auto"/>
        </w:rPr>
        <w:t>MGM Board</w:t>
      </w:r>
      <w:r>
        <w:rPr>
          <w:rFonts w:ascii="Times New Roman" w:cs="Times New Roman" w:eastAsia="Times New Roman" w:hAnsi="Times New Roman"/>
          <w:sz w:val="18"/>
          <w:szCs w:val="18"/>
          <w:color w:val="auto"/>
        </w:rPr>
        <w:t xml:space="preserve">”), so long as: (i) any directors designated by People under the Voting Agreement serve on any transaction committee of the MGM Board for that transaction (unless they decline to serve or their serving would give rise to a conflict of interest under applicable Delaware law); (ii) the transaction is with a third party unaffiliated with MGM, its controlled affiliates, or its directors or executive officers; (iii) unless the Covered Entities consent otherwise, their equity securities receive the same form and amount of consideration per share, and are subject to the same terms and conditions, as securities of the same class held by other stockholders,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consideration to be received by the Covered Entities consists of securities, MGM will use commercially reasonable efforts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with liquidity opportunities for those securities; and (iv) the transaction does not impose any new or additional restrictions on the Covered Entities with respect to the surviving, resulting or acquiring entity. If any of the foregoing conditions is not satisfied, the Covered Entities will not be subject to any restrictions with respect to the voting securities they beneficially own in connection with such change of control transaction.</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addition, for so long as the Covered Entities are in compliance with the Voting Agreement, MGM agreed not to implement any stockholder rights plan or other defensive measure or action, in each case that is primarily designed or intended to be adverse to the Covered Entities or that MGM knows would be disproportionately adverse to the Covered Entities relative to other holders of the same class of equity securities of MGM. The foregoing restrictions do not</w:t>
      </w:r>
    </w:p>
    <w:p>
      <w:pPr>
        <w:spacing w:after="0" w:line="2" w:lineRule="exact"/>
        <w:rPr>
          <w:sz w:val="20"/>
          <w:szCs w:val="20"/>
          <w:color w:val="auto"/>
        </w:rPr>
      </w:pPr>
    </w:p>
    <w:p>
      <w:pPr>
        <w:jc w:val="both"/>
        <w:ind w:firstLine="8"/>
        <w:spacing w:after="0" w:line="253" w:lineRule="auto"/>
        <w:tabs>
          <w:tab w:leader="none" w:pos="2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any statements made by MGM in response to, or in connection with, any proxy contest, proxy solicitation or other contested solicitation of stockholder votes or consents involving MGM and its voting securities initiated, conducted or participated in by any of the Covered Entities, or (ii) limit actions taken by MGM directed at third parties who have agreed to purchase or have purchased a significant percentage of MGM’s outstanding voting securities from the Covered Entities, and the Covered Entities will notify MGM prior to consummating any such sale.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 also provides that, with respect to the termination of the Voting Agreement, a change of control of MGM will not result from the Covered Entities, acting alone or as part of a group, in one or a series of transactions, acquiring beneficial ownership of voting securities possessing a majority of the total voting power of the voting securities of MGM, unless such transaction is specifically approved by the Board as a “change of control” under the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212529"/>
        </w:rPr>
        <w:t>The foregoing description of the Amendment does not purport to be complete and is qualified in its entirety by reference to the Amendment, which is filed as Exhibit 99.1 to this Current Report on Form 8-K and incorporated by reference into this Item 8.01.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 No. 1 to Voting Agreement, dated October 27, 2026, by and among People Incorporated, MGM Resorts International and</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Barry Diller</w:t>
            </w:r>
          </w:p>
        </w:tc>
        <w:tc>
          <w:tcPr>
            <w:tcW w:w="87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People Incorporated</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D. Bishop</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D. Bishop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Counsel</w:t>
            </w:r>
          </w:p>
        </w:tc>
      </w:tr>
    </w:tbl>
    <w:p>
      <w:pPr>
        <w:ind w:left="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Voting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April 3, 2026 by and among MGM Resorts International,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People Incorporated (formerly known as IAC Inc.), a Delaware corporation (“</w:t>
      </w:r>
      <w:r>
        <w:rPr>
          <w:rFonts w:ascii="Times New Roman" w:cs="Times New Roman" w:eastAsia="Times New Roman" w:hAnsi="Times New Roman"/>
          <w:sz w:val="18"/>
          <w:szCs w:val="18"/>
          <w:u w:val="single" w:color="auto"/>
          <w:color w:val="auto"/>
        </w:rPr>
        <w:t>People</w:t>
      </w:r>
      <w:r>
        <w:rPr>
          <w:rFonts w:ascii="Times New Roman" w:cs="Times New Roman" w:eastAsia="Times New Roman" w:hAnsi="Times New Roman"/>
          <w:sz w:val="18"/>
          <w:szCs w:val="18"/>
          <w:color w:val="auto"/>
        </w:rPr>
        <w:t>”), and Barry Diller, an individual (“</w:t>
      </w:r>
      <w:r>
        <w:rPr>
          <w:rFonts w:ascii="Times New Roman" w:cs="Times New Roman" w:eastAsia="Times New Roman" w:hAnsi="Times New Roman"/>
          <w:sz w:val="18"/>
          <w:szCs w:val="18"/>
          <w:u w:val="single" w:color="auto"/>
          <w:color w:val="auto"/>
        </w:rPr>
        <w:t>Mr. Diller</w:t>
      </w:r>
      <w:r>
        <w:rPr>
          <w:rFonts w:ascii="Times New Roman" w:cs="Times New Roman" w:eastAsia="Times New Roman" w:hAnsi="Times New Roman"/>
          <w:sz w:val="18"/>
          <w:szCs w:val="18"/>
          <w:color w:val="auto"/>
        </w:rPr>
        <w:t>”) is made and entered into as of October 27,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Each of the Company, People and Mr. Diller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defined in this Amendment have the respective meanings assigned to them in the Agreement (as amended by this Amendment).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as of the Effective Date, the Covered Entities collectively Beneficially Own 66,822,350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set forth certain agreements herein.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covenants and agreements contained herein, and for other good and valuable consideration, the receipt and sufficiency of which is hereby acknowledged, the Parties, intending to be legally bound, hereby agree as follows:</w:t>
      </w:r>
    </w:p>
    <w:p>
      <w:pPr>
        <w:spacing w:after="0" w:line="176"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IAC Inc. has changed its name to People Incorporated. From and after the Effective Date, each reference in the Agreement to “IAC” (other than in the preamble and recitals thereof) is hereby replaced with a reference to “People,” and each reference in the Agreement to the “IAC Entities” is hereby replaced with a reference to the “People Entities.” The second sentence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Agreement (without giving effect to this Amendment,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after giving effect to this Amendment) is hereby amended and restated in its entirety as follows: “All notices to be given to People and/or Mr. Diller hereunder shall be in writing by email to generalcounsel@people.inc or delivered personally by overnight courier (with a copy by email), addressed to People Incorporated at 555 West 18th Street, New York, New York 10011, Attn: Jennifer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Matters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Agreement shall be amended and restated in its entirety as follows: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matter brought to a vote at any annual or special meeting of the Company’s stockholders, and in connection with any action proposed to be taken by consent of the Company’s stockholders in lieu of a stockholder meeting, other than any such votes or actions taken in connection with a Change of Control transaction (which are addressed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People and Mr. Diller shall, and shall cause their respective controlled affiliates (People, Mr. Diller and such controlled affiliates, collectively, the “</w:t>
      </w:r>
      <w:r>
        <w:rPr>
          <w:rFonts w:ascii="Times New Roman" w:cs="Times New Roman" w:eastAsia="Times New Roman" w:hAnsi="Times New Roman"/>
          <w:sz w:val="18"/>
          <w:szCs w:val="18"/>
          <w:u w:val="single" w:color="auto"/>
          <w:color w:val="auto"/>
        </w:rPr>
        <w:t>Covered Entities</w:t>
      </w:r>
      <w:r>
        <w:rPr>
          <w:rFonts w:ascii="Times New Roman" w:cs="Times New Roman" w:eastAsia="Times New Roman" w:hAnsi="Times New Roman"/>
          <w:sz w:val="18"/>
          <w:szCs w:val="18"/>
          <w:color w:val="auto"/>
        </w:rPr>
        <w:t>” and Mr. Diller and his controlled affiliates, other than People and its controlled affiliates, collectively, the “</w:t>
      </w:r>
      <w:r>
        <w:rPr>
          <w:rFonts w:ascii="Times New Roman" w:cs="Times New Roman" w:eastAsia="Times New Roman" w:hAnsi="Times New Roman"/>
          <w:sz w:val="18"/>
          <w:szCs w:val="18"/>
          <w:u w:val="single" w:color="auto"/>
          <w:color w:val="auto"/>
        </w:rPr>
        <w:t>Diller Entities</w:t>
      </w:r>
      <w:r>
        <w:rPr>
          <w:rFonts w:ascii="Times New Roman" w:cs="Times New Roman" w:eastAsia="Times New Roman" w:hAnsi="Times New Roman"/>
          <w:sz w:val="18"/>
          <w:szCs w:val="18"/>
          <w:color w:val="auto"/>
        </w:rPr>
        <w:t>”) to, vote or duly execute and deliver a stockholder consent with respect to, as applicable, any Voting Securities that are Beneficially Owned by the Covered Entities in excess of the Voting Cap Threshold (as defined below) (the “</w:t>
      </w:r>
      <w:r>
        <w:rPr>
          <w:rFonts w:ascii="Times New Roman" w:cs="Times New Roman" w:eastAsia="Times New Roman" w:hAnsi="Times New Roman"/>
          <w:sz w:val="18"/>
          <w:szCs w:val="18"/>
          <w:u w:val="single" w:color="auto"/>
          <w:color w:val="auto"/>
        </w:rPr>
        <w:t>Excess Voting Securities</w:t>
      </w:r>
      <w:r>
        <w:rPr>
          <w:rFonts w:ascii="Times New Roman" w:cs="Times New Roman" w:eastAsia="Times New Roman" w:hAnsi="Times New Roman"/>
          <w:sz w:val="18"/>
          <w:szCs w:val="18"/>
          <w:color w:val="auto"/>
        </w:rPr>
        <w:t xml:space="preserve">”) in the same manner as the majority of the Voting Securities (other than the Voting Securities held by (x) the Covered Entities, (y) the Company’s directors and executive officers, and (z) any controlled affiliates of the Company’s directors or executive officers) that vote their Voting Securities in respect of such matter (disregarding stockholders that do not vote). For example, if 50.1% of the Voting Securities (other than the Voting Securities held by (x) the Covered Entities, (y) the Company’s directors and executive officers, and (z) any controlled affiliates of the Company’s directors or executive officers), vote in favor of a proposal, then every Voting Security owned by the Covered Securities in excess of the Voting Cap Threshold shall be voted in favor of such proposal, regardless of how the Covered Entities voted their other Voting Securities. The Parties will reasonably cooperate to share information for purposes of this Agreement, and the Company shall provide such information as is reasonably necessary for the Covered Entities to comply with the voting obligations set forth in this Agreement, provided that such information is available to the Company. For purposes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subject to the last sentence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Excess Voting Securities shall be deemed to be owned by the Diller Entities, on the one hand, and the Covered Entities that are not Diller Entities (the “</w:t>
      </w:r>
      <w:r>
        <w:rPr>
          <w:rFonts w:ascii="Times New Roman" w:cs="Times New Roman" w:eastAsia="Times New Roman" w:hAnsi="Times New Roman"/>
          <w:sz w:val="18"/>
          <w:szCs w:val="18"/>
          <w:u w:val="single" w:color="auto"/>
          <w:color w:val="auto"/>
        </w:rPr>
        <w:t>People Entities</w:t>
      </w:r>
      <w:r>
        <w:rPr>
          <w:rFonts w:ascii="Times New Roman" w:cs="Times New Roman" w:eastAsia="Times New Roman" w:hAnsi="Times New Roman"/>
          <w:sz w:val="18"/>
          <w:szCs w:val="18"/>
          <w:color w:val="auto"/>
        </w:rPr>
        <w:t xml:space="preserve">”), on the other hand,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Voting Securities held by the Diller Entities and the People Entities, respectively.</w:t>
      </w:r>
    </w:p>
    <w:p>
      <w:pPr>
        <w:spacing w:after="0" w:line="190"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votes undertaken in connection with a Change of Control transaction at any meeting of the Company’s stockholders, and in connection with any action proposed to be taken by consent of the Company’s stockholders in lieu of a stockholder meeting in connection with a Change of Control transaction, the Covered Entities shall vote or duly execute and deliver a stockholder consent with respect to, as applicable, all Voting Securities that are Beneficially Owned by the Covered Entities in accordance with the recommendation of the Board on each such matter, so long as each of the following conditions are satisfied: (i) any directors on the Board designated by People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are nominated to serve (and do serve, unless such directors elect not to do so) on the transaction committee of the Board, if any, considering such Change of Control transaction unless, in any such case, the inclusion of such a director would give rise to a conflict of interest under applicable Delaware law, (ii) such Change of Control transaction is with a third party unrelated to and unaffiliated with the Company, any of the Company’s controlled affiliates or any of the Company’s directors or executive officers, (iii) unless the Covered Entities consent to different treatment, the equity securities of the Company Beneficially Owned by the Covered Entities will receive the same form and amount of consideration per share, and will otherwise be subject to the same terms and conditions, as equity securities of the same class held by other stockholders of the Company in such Change of Control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portion of the consideration to be received by the Covered Entities consists of securities, the Company shall use commercially reasonable efforts to provide the Covered Entities with liquidity opportunities with respect to any such securities, including registration rights, and (iv) such Change of Control transaction does not result in the imposition of any new or additional restrictions on the Covered Entities with respect to the surviving, resulting or acquiring entity following consummation of such transaction. The Covered Entities shall not be subject to any restrictions with respect to the Voting Securities that are Beneficially Owned by the Covered Entities with respect to any votes or actions by written consent undertaken in connection with a Change of Control transaction with respect to which any of the conditions set forth in clauses (i) through (iv) of the immediately preceding sentence are not satisfied.”</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 w:name="page7"/>
    <w:bookmarkEnd w:id="6"/>
    <w:p>
      <w:pPr>
        <w:ind w:left="328" w:right="4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18"/>
          <w:szCs w:val="18"/>
          <w:color w:val="auto"/>
        </w:rPr>
        <w:t>. New Sections 4, 5, 6, and 7 shall be added to the Agreement as set forth below, with the old Sections 4, 5, and 6 being renumbered 8, 9 and 10, respectively:</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Standstill. The Covered Entities shall not, acting alone or as part of a group (including any “group” within the meaning of Section 13(d)(3) of the Securities Exchange Act of 1934, as amended), directly or indirectly, acquire (a) any securities of the Company or any rights to acquire such securities or (b) any options, warrants, convertible or exchangeable securities, swaps, derivatives or other instruments, agreements or arrangements that provide the right to acquire or vote any securities of the Company (collectively, “</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in each case, whether immediately or upon the passage of time or satisfaction of any condition; provided, however, that the Covered Entities may acquire and Beneficially Own securities of the Company (including Derivative Securities) representing, in the aggregate, up to 29.9% of the outstanding shares of common stock of the Company (the “Cap”); provided, further, that any increase in the Covered Entities’ aggregate Beneficial Ownership above the Cap resulting from any repurchase, redemption or other acquisition of securities by the Company shall not constitute a breach of this Section 4, so long as the Covered Entities do not acquire any additional securities of the Company (including Derivative Securities) while such ownership exceeds 29.9%.</w:t>
      </w:r>
    </w:p>
    <w:p>
      <w:pPr>
        <w:spacing w:after="0" w:line="194"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The Company shall not, for so long as the Covered Entities comply with their respective obligations under this Agreement, implement a shareholder rights plan or take other defensive measures or actions, in each case primarily designed or intended to be adverse to the Covered Entities, or which the Company knows would be disproportionately adverse to the Covered Entities relative to other holders of equity securities of the same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shall not apply to any statements made by the Company in response to, or in connection with, any proxy contest, proxy solicitation or other contested solicitation of stockholder votes or consents involving the Company and its Voting Securities initiated, conducted or participated in (it being understood that casting a vote or executing a consent shall not be deemed to be “participating”) by any of the Covered Entities;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restrictions shall not limit actions taken by the Company directed at third parties who have agreed to purchase or have purchased a significant percentage of the Company’s outstanding Voting Securities from the Covered Entities, and the Covered Entities shall notify the Company at least four (4) business days prior to the consummation of any such transaction.</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jc w:val="both"/>
        <w:ind w:left="648" w:hanging="324"/>
        <w:spacing w:after="0" w:line="258"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if any provision of this Agreement were not performed in accordance with its terms, and that each Party shall be entitled to an injunction or injunctions, specific performance and other equitable relief to prevent breaches of this Agreement and to enforce specifically its terms, without proof of actual damages and without any requirement to post a bond, in addition to any other remedy to which it is entitled at law or in equity.</w:t>
      </w:r>
    </w:p>
    <w:p>
      <w:pPr>
        <w:spacing w:after="0" w:line="183"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modified, or supplemented, and any provisions hereof may be waived, only by a written instrument signed by each of the Parties (or in the case of a waiver, by the Party against whom such waiver is to be effective).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Agreement is hereby amended to:</w:t>
      </w:r>
    </w:p>
    <w:p>
      <w:pPr>
        <w:spacing w:after="0" w:line="225" w:lineRule="exact"/>
        <w:rPr>
          <w:rFonts w:ascii="Times New Roman" w:cs="Times New Roman" w:eastAsia="Times New Roman" w:hAnsi="Times New Roman"/>
          <w:sz w:val="18"/>
          <w:szCs w:val="18"/>
          <w:color w:val="auto"/>
        </w:rPr>
      </w:pPr>
    </w:p>
    <w:p>
      <w:pPr>
        <w:ind w:left="968" w:right="5160" w:hanging="320"/>
        <w:spacing w:after="0" w:line="500" w:lineRule="auto"/>
        <w:tabs>
          <w:tab w:leader="none" w:pos="96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the following definition in the appropriate alphabetical order: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“Change of Control” by adding the following at the end of such definition:</w:t>
      </w:r>
    </w:p>
    <w:p>
      <w:pPr>
        <w:spacing w:after="0" w:line="225" w:lineRule="exact"/>
        <w:rPr>
          <w:rFonts w:ascii="Times New Roman" w:cs="Times New Roman" w:eastAsia="Times New Roman" w:hAnsi="Times New Roman"/>
          <w:sz w:val="18"/>
          <w:szCs w:val="18"/>
          <w:color w:val="auto"/>
        </w:rPr>
      </w:pPr>
    </w:p>
    <w:p>
      <w:pPr>
        <w:jc w:val="both"/>
        <w:ind w:left="96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it is understood and agreed that in no event shall a Change of Control result from the Covered Entities, acting alone or as part of a group, in one or a series of transactions, acquiring Beneficial Ownership of Voting Securities possessing a majority of the total voting power of the Voting Securities of the Company, unless such transaction is specifically approved by the Board as a “Change of Control” under this Agreement.”</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Amendment</w:t>
      </w:r>
      <w:r>
        <w:rPr>
          <w:rFonts w:ascii="Times New Roman" w:cs="Times New Roman" w:eastAsia="Times New Roman" w:hAnsi="Times New Roman"/>
          <w:sz w:val="18"/>
          <w:szCs w:val="18"/>
          <w:color w:val="auto"/>
        </w:rPr>
        <w:t>. Except as expressly provided in this Amendment, all of the terms and provisions of the Agreement are and will remain in full force and effect. On and after the Effective Date, each reference in the Agreement to “this Agreement,” “the Agreement,” “hereunder,” “hereof,” “herein” or words of like import, and each reference to the Agreement in any other agreements, documents, or instruments executed and delivered pursuant to, or in connection with, the Agreement, will mean and be a reference to the Agreement as amended by this Amendment. For the avoidance of doubt, nothing herein is intended to amend the Voting Cap Threshold set forth in the Agreement.</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the Agreement (without giving effect to this Amendment) are hereby expressly incorporated by reference and shall each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The Agreement, as amended by this Amendment, constitutes the entire agreement of the Parties with respect to the subject matter thereof. This Amendment may be executed in counterparts (including by electronic signature or other electronic transmission), each of which shall be deemed an original and all of which together shall constitute one and the same instrument.</w:t>
      </w:r>
    </w:p>
    <w:p>
      <w:pPr>
        <w:spacing w:after="0" w:line="1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[The remainder of this page is left blank intentionally.]</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each executed this Amendment on the Effective Date.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MGM RESORTS INTERNATIONAL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Hornbuckle</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J. Hornbuckle</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IN WITNESS WHEREOF, the Parties hereto have each executed this Amendment on the Effective Date.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PEOPLE: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PEOPLE INCORPORATED</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Timothy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Timothy Quinn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MR. BARRY DILLER: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
    <w:nsid w:val="507ED7AB"/>
    <w:multiLevelType w:val="hybridMultilevel"/>
    <w:lvl w:ilvl="0">
      <w:lvlJc w:val="left"/>
      <w:lvlText w:val="%1."/>
      <w:numFmt w:val="decimal"/>
      <w:start w:val="3"/>
    </w:lvl>
    <w:lvl w:ilvl="1">
      <w:lvlJc w:val="left"/>
      <w:lvlText w:val="%2."/>
      <w:numFmt w:val="decimal"/>
      <w:start w:val="4"/>
    </w:lvl>
  </w:abstractNum>
  <w:abstractNum w:abstractNumId="5">
    <w:nsid w:val="2EB141F2"/>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6">
    <w:nsid w:val="41B71EFB"/>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2026-10-28T08:12:50Z</dcterms:created>
  <dcterms:modified xsi:type="dcterms:W3CDTF">2026-10-28T08:12:50Z</dcterms:modified>
</cp:coreProperties>
</file>