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049d1_8k.htm"/>
      <w:bookmarkStart w:id="1" w:name="kstm2626049d1_8k"/>
      <w:bookmarkEnd w:id="0"/>
      <w:bookmarkEnd w:id="1"/>
      <w:r>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9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 xml:space="preserve">September 23,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People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923"/>
            <w:bookmarkEnd w:id="6"/>
            <w:r>
              <w:rPr>
                <w:rFonts w:ascii="Times New Roman;Times;Serif" w:hAnsi="Times New Roman;Times;Serif"/>
                <w:b/>
                <w:i w:val="false"/>
                <w:caps w:val="false"/>
                <w:smallCaps w:val="false"/>
                <w:sz w:val="20"/>
              </w:rPr>
              <w:t>001-39356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84-3727412</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555 West 18th Street, </w:t>
            </w:r>
            <w:bookmarkStart w:id="9" w:name="xdx_906_edei--EntityAddressCityOrTown_c2"/>
            <w:bookmarkEnd w:id="9"/>
            <w:r>
              <w:rPr>
                <w:rFonts w:ascii="Times New Roman;Times;Serif" w:hAnsi="Times New Roman;Times;Serif"/>
                <w:b/>
                <w:i w:val="false"/>
                <w:caps w:val="false"/>
                <w:smallCaps w:val="false"/>
                <w:sz w:val="20"/>
              </w:rPr>
              <w:t xml:space="preserve">New York, </w:t>
            </w:r>
            <w:bookmarkStart w:id="10" w:name="xdx_90B_edei--EntityAddressStateOrProvin"/>
            <w:bookmarkEnd w:id="10"/>
            <w:r>
              <w:rPr>
                <w:rFonts w:ascii="Times New Roman;Times;Serif" w:hAnsi="Times New Roman;Times;Serif"/>
                <w:b/>
                <w:i w:val="false"/>
                <w:caps w:val="false"/>
                <w:smallCaps w:val="false"/>
                <w:sz w:val="20"/>
              </w:rPr>
              <w:t>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10011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w:t>
      </w:r>
      <w:bookmarkStart w:id="12" w:name="xdx_90B_edei--CityAreaCode_c20260923__20"/>
      <w:bookmarkEnd w:id="12"/>
      <w:r>
        <w:rPr>
          <w:rFonts w:ascii="Times New Roman;Times;Serif" w:hAnsi="Times New Roman;Times;Serif"/>
          <w:b/>
          <w:i w:val="false"/>
          <w:caps w:val="false"/>
          <w:smallCaps w:val="false"/>
          <w:sz w:val="20"/>
        </w:rPr>
        <w:t xml:space="preserve">212) </w:t>
      </w:r>
      <w:bookmarkStart w:id="13" w:name="xdx_908_edei--LocalPhoneNumber_c20260923"/>
      <w:bookmarkEnd w:id="13"/>
      <w:r>
        <w:rPr>
          <w:rFonts w:ascii="Times New Roman;Times;Serif" w:hAnsi="Times New Roman;Times;Serif"/>
          <w:b/>
          <w:i w:val="false"/>
          <w:caps w:val="false"/>
          <w:smallCaps w:val="false"/>
          <w:sz w:val="20"/>
        </w:rPr>
        <w:t>314-7300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45"/>
        <w:gridCol w:w="8570"/>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8570" w:type="dxa"/>
            <w:tcBorders/>
            <w:vAlign w:val="center"/>
          </w:tcPr>
          <w:p>
            <w:pPr>
              <w:pStyle w:val="TableContents"/>
              <w:bidi w:val="0"/>
              <w:spacing w:before="0" w:after="283"/>
              <w:jc w:val="both"/>
              <w:rPr/>
            </w:pPr>
            <w:r>
              <w:rPr/>
              <w:t> </w:t>
            </w:r>
            <w:r>
              <w:rPr>
                <w:rFonts w:ascii="Times New Roman;Times;Serif" w:hAnsi="Times New Roman;Times;Serif"/>
              </w:rPr>
              <w:t>Written communications pursuant to Rule 425 under the Securities Act (17 CFR 230.425)</w:t>
            </w:r>
          </w:p>
        </w:tc>
      </w:tr>
    </w:tbl>
    <w:p>
      <w:pPr>
        <w:pStyle w:val="TextBody"/>
        <w:bidi w:val="0"/>
        <w:spacing w:before="0" w:after="0"/>
        <w:ind w:left="720" w:right="0" w:hanging="36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45"/>
        <w:gridCol w:w="8600"/>
      </w:tblGrid>
      <w:tr>
        <w:trPr/>
        <w:tc>
          <w:tcPr>
            <w:tcW w:w="245" w:type="dxa"/>
            <w:tcBorders/>
            <w:vAlign w:val="center"/>
          </w:tcPr>
          <w:p>
            <w:pPr>
              <w:pStyle w:val="TableContents"/>
              <w:bidi w:val="0"/>
              <w:spacing w:before="0" w:after="283"/>
              <w:jc w:val="left"/>
              <w:rPr/>
            </w:pPr>
            <w:bookmarkStart w:id="15" w:name="xdx_909_edei--SolicitingMaterial_c202609"/>
            <w:bookmarkEnd w:id="15"/>
            <w:r>
              <w:rPr/>
              <w:t>☐</w:t>
            </w:r>
          </w:p>
        </w:tc>
        <w:tc>
          <w:tcPr>
            <w:tcW w:w="8600" w:type="dxa"/>
            <w:tcBorders/>
            <w:vAlign w:val="center"/>
          </w:tcPr>
          <w:p>
            <w:pPr>
              <w:pStyle w:val="TableContents"/>
              <w:bidi w:val="0"/>
              <w:spacing w:before="0" w:after="283"/>
              <w:jc w:val="both"/>
              <w:rPr/>
            </w:pPr>
            <w:r>
              <w:rPr/>
              <w:t> </w:t>
            </w:r>
            <w:r>
              <w:rPr>
                <w:rFonts w:ascii="Times New Roman;Times;Serif" w:hAnsi="Times New Roman;Times;Serif"/>
              </w:rPr>
              <w:t>Soliciting material pursuant to Rule 14a-12 under the Exchange Act (17 CFR 240.14a-12)</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960" w:type="dxa"/>
            <w:tcBorders/>
            <w:vAlign w:val="center"/>
          </w:tcPr>
          <w:p>
            <w:pPr>
              <w:pStyle w:val="TableContents"/>
              <w:bidi w:val="0"/>
              <w:spacing w:before="0" w:after="283"/>
              <w:jc w:val="both"/>
              <w:rPr/>
            </w:pPr>
            <w:r>
              <w:rPr/>
              <w:t> </w:t>
            </w: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both"/>
              <w:rPr/>
            </w:pPr>
            <w:r>
              <w:rPr/>
              <w:t> </w:t>
            </w: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424" w:right="2618"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40" w:type="dxa"/>
          <w:right w:w="0" w:type="dxa"/>
        </w:tblCellMar>
      </w:tblPr>
      <w:tblGrid>
        <w:gridCol w:w="2855"/>
        <w:gridCol w:w="60"/>
        <w:gridCol w:w="1610"/>
        <w:gridCol w:w="60"/>
        <w:gridCol w:w="3275"/>
      </w:tblGrid>
      <w:tr>
        <w:trPr/>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28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923"/>
            <w:bookmarkEnd w:id="18"/>
            <w:r>
              <w:rPr>
                <w:rFonts w:ascii="Times New Roman;Times;Serif" w:hAnsi="Times New Roman;Times;Serif"/>
                <w:sz w:val="20"/>
              </w:rPr>
              <w:t>Common Stock, par value $0.0001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923__2"/>
            <w:bookmarkEnd w:id="19"/>
            <w:r>
              <w:rPr>
                <w:rFonts w:ascii="Times New Roman;Times;Serif" w:hAnsi="Times New Roman;Times;Serif"/>
                <w:sz w:val="20"/>
              </w:rPr>
              <w:t>PPLI</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The Nasdaq Stock Market LLC</w:t>
            </w:r>
          </w:p>
        </w:tc>
      </w:tr>
      <w:tr>
        <w:trPr/>
        <w:tc>
          <w:tcPr>
            <w:tcW w:w="28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7.01. Regulation FD Disclosure.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People Incorporated (the “Company”), issued a press release announcing that it has withdrawn its previously announced proposal to acquire all of the outstanding shares of common stock of MGM Resorts International not already owned by the Company. The press release is attached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 of Exhibit</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6049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6049d1_ex99-1.htm">
              <w:r>
                <w:rPr>
                  <w:rStyle w:val="InternetLink"/>
                  <w:sz w:val="20"/>
                </w:rPr>
                <w:t>Press Release of People Incorporated, dated as of September 23,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5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545"/>
        <w:gridCol w:w="2090"/>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sz w:val="20"/>
              </w:rPr>
            </w:pPr>
            <w:r>
              <w:rPr>
                <w:sz w:val="20"/>
              </w:rPr>
              <w:t>People Incorporated</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/s/ Jennifer D. Bishop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090" w:type="dxa"/>
            <w:tcBorders/>
            <w:vAlign w:val="center"/>
          </w:tcPr>
          <w:p>
            <w:pPr>
              <w:pStyle w:val="TableContents"/>
              <w:bidi w:val="0"/>
              <w:spacing w:before="0" w:after="283"/>
              <w:jc w:val="left"/>
              <w:rPr>
                <w:sz w:val="20"/>
              </w:rPr>
            </w:pPr>
            <w:r>
              <w:rPr>
                <w:sz w:val="20"/>
              </w:rPr>
              <w:t>Jennifer D. Bishop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090" w:type="dxa"/>
            <w:tcBorders/>
            <w:vAlign w:val="center"/>
          </w:tcPr>
          <w:p>
            <w:pPr>
              <w:pStyle w:val="TableContents"/>
              <w:bidi w:val="0"/>
              <w:spacing w:before="0" w:after="283"/>
              <w:jc w:val="left"/>
              <w:rPr>
                <w:i/>
                <w:sz w:val="20"/>
              </w:rPr>
            </w:pPr>
            <w:r>
              <w:rPr>
                <w:i/>
                <w:sz w:val="20"/>
              </w:rPr>
              <w:t>Deputy General Counsel</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Date: 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6049d1_ex99-1.htm"/>
      <w:bookmarkStart w:id="23" w:name="kstm2626049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 INCORPORATED WITHDRAWS PROPOSAL TO PURCHASE ALL PUBLIC</w:t>
        <w:br/>
        <w:t>SHARES OF MGM RESORTS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YORK—September 23, 2026</w:t>
      </w:r>
      <w:r>
        <w:rPr>
          <w:rFonts w:ascii="Times New Roman;Times;Serif" w:hAnsi="Times New Roman;Times;Serif"/>
          <w:b w:val="false"/>
          <w:i w:val="false"/>
          <w:caps w:val="false"/>
          <w:smallCaps w:val="false"/>
          <w:sz w:val="20"/>
        </w:rPr>
        <w:t>—Today People Incorporated (NASDAQ: PPLI) announced it has withdrawn its proposal to purchase all public shares of MGM Resorts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 Incorporated Chairman and Senior Executive Barry Diller said,  “There are lots of ingredients that go into a proposal of this kind on its way to completion. We didn’t feel the mix was coming together in the way we had hoped and have decided not to pursue taking the company private at this time. What is undimmed is our belief in the future of MGM Resorts. We continue to hold 66.8 million shares representing approximately 27% of MGM Resorts and have total confidence in both the management and the Company’s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Mr. Diller, “I want to thank the Special Committee and all the MGM Directors for giving us the time and consideration during the process. People Incorporated is doing just fine with its principal publishing business achieving its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quarter of growth with plenty of cash to both invest in its business and purchase its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at People Incorporated remain open to and interested in the possibility of a strategic transaction with MGM Resorts and look forward to considering a range of alternatives,” concluded Mr. Diller.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w:t>
      </w:r>
      <w:r>
        <w:rPr>
          <w:rFonts w:ascii="Times New Roman;Times;Serif" w:hAnsi="Times New Roman;Times;Serif"/>
          <w:b w:val="false"/>
          <w:i/>
          <w:caps w:val="false"/>
          <w:smallCaps w:val="false"/>
          <w:sz w:val="20"/>
        </w:rPr>
        <w:t>forward-looking</w:t>
      </w:r>
      <w:r>
        <w:rPr>
          <w:rFonts w:ascii="Times New Roman;Times;Serif" w:hAnsi="Times New Roman;Times;Serif"/>
          <w:b w:val="false"/>
          <w:i w:val="false"/>
          <w:caps w:val="false"/>
          <w:smallCaps w:val="false"/>
          <w:sz w:val="20"/>
        </w:rPr>
        <w:t xml:space="preserve"> statements” within the meaning of the Private Securities Litigation Reform Act of 1995. The use of words such as “anticipates,” “intends,” “estimates,” “expects,” “plans” and “believes,” among others, generally identify </w:t>
      </w:r>
      <w:r>
        <w:rPr>
          <w:rFonts w:ascii="Times New Roman;Times;Serif" w:hAnsi="Times New Roman;Times;Serif"/>
          <w:b w:val="false"/>
          <w:i/>
          <w:caps w:val="false"/>
          <w:smallCaps w:val="false"/>
          <w:sz w:val="20"/>
        </w:rPr>
        <w:t>forward-looking</w:t>
      </w:r>
      <w:r>
        <w:rPr>
          <w:rFonts w:ascii="Times New Roman;Times;Serif" w:hAnsi="Times New Roman;Times;Serif"/>
          <w:b w:val="false"/>
          <w:i w:val="false"/>
          <w:caps w:val="false"/>
          <w:smallCaps w:val="false"/>
          <w:sz w:val="20"/>
        </w:rPr>
        <w:t xml:space="preserve"> statements. These </w:t>
      </w:r>
      <w:r>
        <w:rPr>
          <w:rFonts w:ascii="Times New Roman;Times;Serif" w:hAnsi="Times New Roman;Times;Serif"/>
          <w:b w:val="false"/>
          <w:i/>
          <w:caps w:val="false"/>
          <w:smallCaps w:val="false"/>
          <w:sz w:val="20"/>
        </w:rPr>
        <w:t>forward-looking</w:t>
      </w:r>
      <w:r>
        <w:rPr>
          <w:rFonts w:ascii="Times New Roman;Times;Serif" w:hAnsi="Times New Roman;Times;Serif"/>
          <w:b w:val="false"/>
          <w:i w:val="false"/>
          <w:caps w:val="false"/>
          <w:smallCaps w:val="false"/>
          <w:sz w:val="20"/>
        </w:rPr>
        <w:t xml:space="preserve"> statements include, among others, statements relating to future investments in our business and purchase of our stock, and the possibility of a strategic transaction. 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ongoing corporate consolidation. Certain of these and other risks and uncertainties are described in our filings with the Securities and Exchange Commission (the “SEC”), including the most recent Annual Report on Form 10-K filed with the SEC on February 20, 2026, and subsequent reports that we file with the SEC. Other unknown or unpredictable factors that could also adversely affect our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w:t>
      </w:r>
      <w:r>
        <w:rPr>
          <w:rFonts w:ascii="Times New Roman;Times;Serif" w:hAnsi="Times New Roman;Times;Serif"/>
          <w:b w:val="false"/>
          <w:i/>
          <w:caps w:val="false"/>
          <w:smallCaps w:val="false"/>
          <w:sz w:val="20"/>
        </w:rPr>
        <w:t>forward-looking</w:t>
      </w:r>
      <w:r>
        <w:rPr>
          <w:rFonts w:ascii="Times New Roman;Times;Serif" w:hAnsi="Times New Roman;Times;Serif"/>
          <w:b w:val="false"/>
          <w:i w:val="false"/>
          <w:caps w:val="false"/>
          <w:smallCaps w:val="false"/>
          <w:sz w:val="20"/>
        </w:rPr>
        <w:t xml:space="preserve"> statements as representing our views as of any date subsequent to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People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 Incorporated is the owner of America’s largest publisher, People Inc., home to more than 40 celebrated brands including PEOPLE, Food &amp; Wine, Travel + Leisure, InStyle, Better Homes &amp; Gardens, and Southern Living, attracting a total of 175 million consumers each month. The company also holds a significant minority stake in MGM Resorts International, reflecting our belief in the power and potential of businesses built around enduring consumer brands and iconic, real-world experiences.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People Incorporated represents the latest evolution in a long tradition of entrepreneurial ownership, disciplined capital allocation, and opportunistic value creation. Over three decades, the company has built, operated, invested in, and spun off many of the internet and media industry’s defining businesses, and that same spirit of opportunism drives us today. People Incorporated is headquartered in New York City. To learn more visit </w:t>
      </w:r>
      <w:r>
        <w:rPr>
          <w:rFonts w:ascii="Times New Roman;Times;Serif" w:hAnsi="Times New Roman;Times;Serif"/>
          <w:b w:val="false"/>
          <w:i w:val="false"/>
          <w:caps w:val="false"/>
          <w:smallCaps w:val="false"/>
          <w:sz w:val="20"/>
          <w:u w:val="single"/>
        </w:rPr>
        <w:t>https://ir.people-incorporated.com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 Incorporated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Schneider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314-7400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 Incorporated Corporate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Valerie Combs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314-7251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1573</Words>
  <Characters>9091</Characters>
  <CharactersWithSpaces>10682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