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4341.xml.htm"/>
      <w:bookmarkStart w:id="1" w:name="kswkform4_17909743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Clinton Chelsea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PEOPLE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WEST 18TH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People Inc</w:t>
              </w:r>
            </w:hyperlink>
            <w:r>
              <w:rPr/>
              <w:t xml:space="preserve"> [ </w:t>
            </w:r>
            <w:r>
              <w:rPr>
                <w:rFonts w:ascii="Times;serif" w:hAnsi="Times;serif"/>
                <w:color w:val="0000FF"/>
                <w:sz w:val="24"/>
                <w:shd w:fill="FFFFFF" w:val="clear"/>
              </w:rPr>
              <w:t>PPLI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 par value $0.0001</w:t>
            </w:r>
            <w:r>
              <w:rPr>
                <w:rFonts w:ascii="Times;serif" w:hAnsi="Times;serif"/>
                <w:color w:val="008000"/>
                <w:position w:val="7"/>
                <w:sz w:val="16"/>
                <w:sz w:val="20"/>
                <w:shd w:fill="FFFFFF" w:val="clear"/>
              </w:rPr>
              <w:t>(1)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41.96</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93,484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 units accrued under the Non-Employee Director Deferred Compensation Plan as of the date of this report.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Hereich as Attorney-In-Fact for Chelsea Clinton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poa-clinton.htm"/>
      <w:bookmarkStart w:id="3" w:name="ksa2026poaclinton"/>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Jeff Hartwig, Jenn Bishop, Tara Hereich, Anastasia Walkenberg, and Sierra Emeis, signing singly, as the undersigned’s true and lawful attorney-in- fact to: (1) execute for and on behalf of the undersigned, in the undersigned’s capacity as a director of People Incorporated (the “Company”), Forms 3, 4 and 5 in accordance with Section 16(a) of the Securities Exchange Act of 1934 and the rules thereunder (the “Exchange Act”) and Form ID to obtain and/or renew EDGAR codes for use in filing Forms 3, 4 and 5; (2) do and perform any and all acts for and on behalf of the undersigned which may be necessary or desirable to complete and execute any such Form 3, 4 or 5 or Form ID, complete and execute any amendment or amendments thereto, and timely file such forms with the United States Securities and Exchange Commission and any stock exchange or similar authority;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 (4) 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 IN WITNESS WHEREOF, the undersigned had caused this Power of Attorney to be executed as of this 21st day of September, 2026. /s/ Chelsea Clinton Chelsea Clinton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0920" TargetMode="External"/><Relationship Id="rId5" Type="http://schemas.openxmlformats.org/officeDocument/2006/relationships/hyperlink" Target="http://www.sec.gov/cgi-bin/browse-edgar?action=getcompany&amp;CIK=00018002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1256</Words>
  <Characters>6744</Characters>
  <CharactersWithSpaces>7935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a2026poa-clinton</dc:title>
</cp:coreProperties>
</file>