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MGM RESORTS INTERNATIONAL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Jennifer D. Bishop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People Incorporated, 555 West 18th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551-7105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PEOPLE INCORPORATED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66,822,350.00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66,822,350.00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66,822,350.00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13: Percentage in Row 13 calculated on the basis of 251,592,756 shares of common stock, par value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$0.01, of the Issuer ("Common Stock") issued and outstanding as of July 27, 2026 (based upon information contained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in the Issuer's Quarterly Report on Form 10-Q for the quarterly period ended June 30, 2026, which was filed with the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U.S. Securities and Exchange Commission (the "SEC") on July 29, 2026). Rows 7, 9 and 11 reflect shares of Common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Stock beneficially owned by People Incorporated ("People"). See Item 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MGM RESORTS INTERNATIONAL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3600 LAS VEGAS BLVD S, LAS VEGAS, NEVADA , 89109.</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constitutes Amendment No. 10 ("Amendment No. 10") to the Schedule 13D relating to the shares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$0.01 par value (the "Shares"), of MGM Resorts International (the "Issuer"), and hereby amends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filed with the SEC on August 10, 2020 (as amended by Amendment No. 1, filed with the SEC on August 20, 2020, Amendment No. 2, filed with the SEC on January 11, 2021, Amendment No. 3, filed with the SEC on February 16, 2022, Amendment No. 4, filed with the SEC on August 26, 2022, Amendment No. 5, filed with the SEC on December 9, 2025, Amendment No. 6, filed with the SEC on March 25, 2026, Amendment No. 7, filed with</w:t>
      </w:r>
    </w:p>
    <w:p>
      <w:pPr>
        <w:sectPr>
          <w:pgSz w:w="11900" w:h="16838" w:orient="portrait"/>
          <w:cols w:equalWidth="0" w:num="1">
            <w:col w:w="11240"/>
          </w:cols>
          <w:pgMar w:left="320" w:top="126" w:right="339" w:bottom="0" w:gutter="0" w:footer="0" w:header="0"/>
        </w:sectPr>
      </w:pPr>
    </w:p>
    <w:bookmarkStart w:id="2" w:name="page3"/>
    <w:bookmarkEnd w:id="2"/>
    <w:p>
      <w:pPr>
        <w:jc w:val="both"/>
        <w:ind w:left="960"/>
        <w:spacing w:after="0"/>
        <w:rPr>
          <w:sz w:val="20"/>
          <w:szCs w:val="20"/>
          <w:color w:val="auto"/>
        </w:rPr>
      </w:pPr>
      <w:r>
        <w:rPr>
          <w:rFonts w:ascii="Times New Roman" w:cs="Times New Roman" w:eastAsia="Times New Roman" w:hAnsi="Times New Roman"/>
          <w:sz w:val="22"/>
          <w:szCs w:val="22"/>
          <w:color w:val="auto"/>
        </w:rPr>
        <w:t>the SEC on April 7, 2026, Amendment No. 8, filed with the SEC on June 1, 2026 and Amendment No. 9, filed with the SEC on September 24, 2026, together, the "Schedule 13D"). Except as set forth herein, the Schedule 13D as previously filed remains applicable. All capitalized terms contained herein but not otherwise defined shall have the meanings ascribed to such terms in the Schedule 13D.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2"/>
          <w:szCs w:val="22"/>
          <w:color w:val="auto"/>
        </w:rPr>
        <w:t>The information contained in Item 4 of the Schedule 13D is hereby amended and supplemented by adding the following information: The information contained in Item 6 of this Amendment No. 10 is incorporated by reference into this Item.</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5(a) is hereby amended by replacing the first paragraph with the following: As of close of business on the date</w:t>
      </w:r>
    </w:p>
    <w:p>
      <w:pPr>
        <w:spacing w:after="0" w:line="14" w:lineRule="exact"/>
        <w:rPr>
          <w:sz w:val="20"/>
          <w:szCs w:val="20"/>
          <w:color w:val="auto"/>
        </w:rPr>
      </w:pPr>
    </w:p>
    <w:p>
      <w:pPr>
        <w:ind w:left="920" w:right="20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Amendment No. 10, Reporting Person has beneficial ownership of approximately 66,822,350 Shares constituting approximately 26.5% of the Shares outstanding.</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is hereby amended and supplemented by adding the following paragraph at the end of Item 5(c): There have been no transactions by the Reporting Person in the Shares during the past 60 days prior to Amendment No. 10.</w:t>
      </w:r>
    </w:p>
    <w:p>
      <w:pPr>
        <w:spacing w:after="0" w:line="1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1" w:lineRule="auto"/>
        <w:rPr>
          <w:sz w:val="20"/>
          <w:szCs w:val="20"/>
          <w:color w:val="auto"/>
        </w:rPr>
      </w:pPr>
      <w:r>
        <w:rPr>
          <w:rFonts w:ascii="Times New Roman" w:cs="Times New Roman" w:eastAsia="Times New Roman" w:hAnsi="Times New Roman"/>
          <w:sz w:val="22"/>
          <w:szCs w:val="22"/>
          <w:color w:val="auto"/>
        </w:rPr>
        <w:t>The information contained in Item 6 of the Schedule 13D is hereby amended and supplemented by adding the following information: On October 27, 2026, People entered into Amendment No. 1 (the "Amendment") to the Voting Agreement (the "Voting Agreement") dated April 3, 2026 with the Issuer and Barry Diller. Pursuant to the Amendment, People, Mr. Diller and their respective controlled affiliates (collectively, the "Covered Entities") agreed not to acquire securities of the Issuer (or related derivative instruments) if doing so would cause their aggregate beneficial ownership to exceed 29.9% of the Issuer's outstanding common stock, except that an increase above that threshold resulting from the Issuer's own repurchases, redemptions or other acquisitions of its securities will not constitute a breach, so long as the Covered Entities make no further acquisitions while above 29.9%. Additionally, at any time a matter, other than a change of control transaction, is brought to a stockholder vote or consent of the Issuer's stockholders, the Covered Entities will vote any voting securities they beneficially own in excess of 25.73% of the total voting power of the outstanding voting securities of the Issuer on each matter in the same manner as the majority of the voting securities of the Issuer (other than those held by (x) the Covered Entities, (y) the Issuer's directors and executive officers, and (z) any controlled affiliates of the Issuer's directors or executive officers) are voted on such matters (disregarding voting securities that are not voted). With respect to any vote or consent of the Issuer's stockholders in connection with a change of control transaction, the Covered Entities will vote all voting securities they beneficially own in accordance with the recommendation of the Issuer's Board of Directors (the "Issuer Board"), so long as: (i) any directors designated by People under the Voting Agreement serve on any transaction committee of the Issuer Board for that transaction (unless they decline to serve or their serving would give rise to a conflict of interest under applicable Delaware law); (ii) the transaction is with a third party unaffiliated with the Issuer, its controlled affiliates, or its directors or executive officers; (iii) unless the Covered Entities consent otherwise, their equity securities receive the same form and amount of consideration per share, and are subject to the same terms and conditions, as securities of the same class held by other stockholders, provided that if any consideration to be received by the Covered Entities consists of securities, the Issuer will use commercially reasonable efforts to provide them with liquidity opportunities for those securities; and (iv) the transaction does not impose any new or additional restrictions on the Covered Entities with respect to the surviving, resulting or acquiring entity. If any of the foregoing conditions is not satisfied, the Covered Entities will not be subject to any restrictions with respect to the voting securities they beneficially own in connection with such change of control transaction. In addition, for so long as the Covered Entities are in compliance with the Voting Agreement, the Issuer agreed not to implement any stockholder rights plan or other defensive measure or action, in each case that is primarily designed or intended to be adverse to the Covered Entities or that the Issuer knows would be disproportionately adverse to the Covered Entities relative to other holders of the same class of equity securities of the Issuer. The foregoing restrictions do not (i) apply to any statements made by the Issuer in response to, or in connection with, any proxy contest, proxy solicitation or other contested solicitation of stockholder votes or consents involving the Issuer and its voting securities initiated, conducted or participated in by any of the Covered Entities, or (ii) limit actions taken by the Issuer directed at third parties who have agreed to purchase or have purchased a significant percentage of the Issuer's outstanding voting securities from the Covered Entities, and the Covered Entities will notify the Issuer prior to consummating any such sale. The Amendment also provides that, with respect to the termination of the Voting Agreement, a change of control of the Issuer will not result from the Covered Entities, acting alone or as part of a group, in one or a series of transactions, acquiring beneficial ownership of voting securities possessing a majority of the total voting power of the voting securities of the Issuer, unless such transaction is specifically approved by the Issuer Board as a "change of control" under the Voting Agreement. The above summary is not complete and is qualified in its entirety by reference to the full text of the Voting Agreement, filed as Exhibit 1 to Amendment No. 7 to this Schedule 13D, and of Amendment No. 1 to the Voting Agreement, which is attached hereto as Exhibit 2, and each of which is incorporated herein by reference.</w:t>
      </w:r>
    </w:p>
    <w:p>
      <w:pPr>
        <w:spacing w:after="0" w:line="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000" w:firstLine="6"/>
        <w:spacing w:after="0" w:line="258" w:lineRule="auto"/>
        <w:tabs>
          <w:tab w:leader="none" w:pos="11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1 to the Voting Agreement, dated as of October 27, 2026, by and among MGM Resorts International, People Incorporated and Barry Diller.</w:t>
      </w:r>
    </w:p>
    <w:p>
      <w:pPr>
        <w:sectPr>
          <w:pgSz w:w="11900" w:h="16838" w:orient="portrait"/>
          <w:cols w:equalWidth="0" w:num="1">
            <w:col w:w="11160"/>
          </w:cols>
          <w:pgMar w:left="360" w:top="111" w:right="3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PEOPLE INCORPORATED</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Jennifer D. Bishop</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Jennifer D. Bishop, Deputy General Counsel</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ectPr>
          <w:pgSz w:w="11900" w:h="16838" w:orient="portrait"/>
          <w:cols w:equalWidth="0" w:num="1">
            <w:col w:w="10920"/>
          </w:cols>
          <w:pgMar w:left="58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Voting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April 3, 2026 by and among MGM Resorts International,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People Incorporated (formerly known as IAC Inc.), a Delaware corporation (“</w:t>
      </w:r>
      <w:r>
        <w:rPr>
          <w:rFonts w:ascii="Times New Roman" w:cs="Times New Roman" w:eastAsia="Times New Roman" w:hAnsi="Times New Roman"/>
          <w:sz w:val="18"/>
          <w:szCs w:val="18"/>
          <w:u w:val="single" w:color="auto"/>
          <w:color w:val="auto"/>
        </w:rPr>
        <w:t>People</w:t>
      </w:r>
      <w:r>
        <w:rPr>
          <w:rFonts w:ascii="Times New Roman" w:cs="Times New Roman" w:eastAsia="Times New Roman" w:hAnsi="Times New Roman"/>
          <w:sz w:val="18"/>
          <w:szCs w:val="18"/>
          <w:color w:val="auto"/>
        </w:rPr>
        <w:t>”), and Barry Diller, an individual (“</w:t>
      </w:r>
      <w:r>
        <w:rPr>
          <w:rFonts w:ascii="Times New Roman" w:cs="Times New Roman" w:eastAsia="Times New Roman" w:hAnsi="Times New Roman"/>
          <w:sz w:val="18"/>
          <w:szCs w:val="18"/>
          <w:u w:val="single" w:color="auto"/>
          <w:color w:val="auto"/>
        </w:rPr>
        <w:t>Mr. Diller</w:t>
      </w:r>
      <w:r>
        <w:rPr>
          <w:rFonts w:ascii="Times New Roman" w:cs="Times New Roman" w:eastAsia="Times New Roman" w:hAnsi="Times New Roman"/>
          <w:sz w:val="18"/>
          <w:szCs w:val="18"/>
          <w:color w:val="auto"/>
        </w:rPr>
        <w:t>”) is made and entered into as of October 27,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Each of the Company, People and Mr. Diller is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defined in this Amendment have the respective meanings assigned to them in the Agreement (as amended by this Amendment).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as of the Effective Date, the Covered Entities collectively Beneficially Own 66,822,350 shares of Common Stock;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desire to set forth certain agreements herein.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covenants and agreements contained herein, and for other good and valuable consideration, the receipt and sufficiency of which is hereby acknowledged, the Parties, intending to be legally bound, hereby agree as follows:</w:t>
      </w:r>
    </w:p>
    <w:p>
      <w:pPr>
        <w:spacing w:after="0" w:line="176"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IAC Inc. has changed its name to People Incorporated. From and after the Effective Date, each reference in the Agreement to “IAC” (other than in the preamble and recitals thereof) is hereby replaced with a reference to “People,” and each reference in the Agreement to the “IAC Entities” is hereby replaced with a reference to the “People Entities.” The second sentence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Agreement (without giving effect to this Amendment,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after giving effect to this Amendment) is hereby amended and restated in its entirety as follows: “All notices to be given to People and/or Mr. Diller hereunder shall be in writing by email to generalcounsel@people.inc or delivered personally by overnight courier (with a copy by email), addressed to People Incorporated at 555 West 18th Street, New York, New York 10011, Attn: Jennifer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Matters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Agreement shall be amended and restated in its entirety as follows:</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matter brought to a vote at any annual or special meeting of the Company’s stockholders, and in connection with any action proposed to be taken by consent of the Company’s stockholders in lieu of a stockholder meeting, other than any such votes or actions taken in connection with a Change of Control transaction (which are addressed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People and Mr. Diller shall, and shall cause their respective controlled affiliates (People, Mr. Diller and such controlled affiliates, collectively, the “</w:t>
      </w:r>
      <w:r>
        <w:rPr>
          <w:rFonts w:ascii="Times New Roman" w:cs="Times New Roman" w:eastAsia="Times New Roman" w:hAnsi="Times New Roman"/>
          <w:sz w:val="18"/>
          <w:szCs w:val="18"/>
          <w:u w:val="single" w:color="auto"/>
          <w:color w:val="auto"/>
        </w:rPr>
        <w:t>Covered Entities</w:t>
      </w:r>
      <w:r>
        <w:rPr>
          <w:rFonts w:ascii="Times New Roman" w:cs="Times New Roman" w:eastAsia="Times New Roman" w:hAnsi="Times New Roman"/>
          <w:sz w:val="18"/>
          <w:szCs w:val="18"/>
          <w:color w:val="auto"/>
        </w:rPr>
        <w:t>” and Mr. Diller and his controlled affiliates, other than People and its controlled affiliates, collectively, the “</w:t>
      </w:r>
      <w:r>
        <w:rPr>
          <w:rFonts w:ascii="Times New Roman" w:cs="Times New Roman" w:eastAsia="Times New Roman" w:hAnsi="Times New Roman"/>
          <w:sz w:val="18"/>
          <w:szCs w:val="18"/>
          <w:u w:val="single" w:color="auto"/>
          <w:color w:val="auto"/>
        </w:rPr>
        <w:t>Diller Entities</w:t>
      </w:r>
      <w:r>
        <w:rPr>
          <w:rFonts w:ascii="Times New Roman" w:cs="Times New Roman" w:eastAsia="Times New Roman" w:hAnsi="Times New Roman"/>
          <w:sz w:val="18"/>
          <w:szCs w:val="18"/>
          <w:color w:val="auto"/>
        </w:rPr>
        <w:t>”) to, vote or duly execute and deliver a stockholder consent with respect to, as applicable, any Voting Securities that are Beneficially Owned by the Covered Entities in excess of the Voting Cap Threshold (as defined below) (the “</w:t>
      </w:r>
      <w:r>
        <w:rPr>
          <w:rFonts w:ascii="Times New Roman" w:cs="Times New Roman" w:eastAsia="Times New Roman" w:hAnsi="Times New Roman"/>
          <w:sz w:val="18"/>
          <w:szCs w:val="18"/>
          <w:u w:val="single" w:color="auto"/>
          <w:color w:val="auto"/>
        </w:rPr>
        <w:t>Excess Voting Securities</w:t>
      </w:r>
      <w:r>
        <w:rPr>
          <w:rFonts w:ascii="Times New Roman" w:cs="Times New Roman" w:eastAsia="Times New Roman" w:hAnsi="Times New Roman"/>
          <w:sz w:val="18"/>
          <w:szCs w:val="18"/>
          <w:color w:val="auto"/>
        </w:rPr>
        <w:t xml:space="preserve">”) in the same manner as the majority of the Voting Securities (other than the Voting Securities held by (x) the Covered Entities, (y) the Company’s directors and executive officers, and (z) any controlled affiliates of the Company’s directors or executive officers) that vote their Voting Securities in respect of such matter (disregarding stockholders that do not vote). For example, if 50.1% of the Voting Securities (other than the Voting Securities held by (x) the Covered Entities, (y) the Company’s directors and executive officers, and (z) any controlled affiliates of the Company’s directors or executive officers), vote in favor of a proposal, then every Voting Security owned by the Covered Securities in excess of the Voting Cap Threshold shall be voted in favor of such proposal, regardless of how the Covered Entities voted their other Voting Securities. The Parties will reasonably cooperate to share information for purposes of this Agreement, and the Company shall provide such information as is reasonably necessary for the Covered Entities to comply with the voting obligations set forth in this Agreement, provided that such information is available to the Company. For purposes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subject to the last sentence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Excess Voting Securities shall be deemed to be owned by the Diller Entities, on the one hand, and the Covered Entities that are not Diller Entities (the “</w:t>
      </w:r>
      <w:r>
        <w:rPr>
          <w:rFonts w:ascii="Times New Roman" w:cs="Times New Roman" w:eastAsia="Times New Roman" w:hAnsi="Times New Roman"/>
          <w:sz w:val="18"/>
          <w:szCs w:val="18"/>
          <w:u w:val="single" w:color="auto"/>
          <w:color w:val="auto"/>
        </w:rPr>
        <w:t>People Entities</w:t>
      </w:r>
      <w:r>
        <w:rPr>
          <w:rFonts w:ascii="Times New Roman" w:cs="Times New Roman" w:eastAsia="Times New Roman" w:hAnsi="Times New Roman"/>
          <w:sz w:val="18"/>
          <w:szCs w:val="18"/>
          <w:color w:val="auto"/>
        </w:rPr>
        <w:t xml:space="preserve">”), on the other hand,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Voting Securities held by the Diller Entities and the People Entities, respectively.</w:t>
      </w:r>
    </w:p>
    <w:p>
      <w:pPr>
        <w:spacing w:after="0" w:line="190" w:lineRule="exact"/>
        <w:rPr>
          <w:rFonts w:ascii="Times New Roman" w:cs="Times New Roman" w:eastAsia="Times New Roman" w:hAnsi="Times New Roman"/>
          <w:sz w:val="18"/>
          <w:szCs w:val="18"/>
          <w:color w:val="auto"/>
        </w:rPr>
      </w:pPr>
    </w:p>
    <w:p>
      <w:pPr>
        <w:jc w:val="both"/>
        <w:ind w:left="968" w:hanging="320"/>
        <w:spacing w:after="0" w:line="252" w:lineRule="auto"/>
        <w:tabs>
          <w:tab w:leader="none" w:pos="968"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votes undertaken in connection with a Change of Control transaction at any meeting of the Company’s stockholders, and in connection with any action proposed to be taken by consent of the Company’s stockholders in lieu of a stockholder meeting in connection with a Change of Control transaction, the Covered Entities shall vote or duly execute and deliver a stockholder consent with respect to, as applicable, all Voting Securities that are Beneficially Owned by the Covered Entities in accordance with the recommendation of the Board on each such matter, so long as each of the following conditions are satisfied: (i) any directors on the Board designated by People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are nominated to serve (and do serve, unless such directors elect not to do so) on the transaction committee of the Board, if any, considering such Change of Control transaction unless, in any such case, the inclusion of such a director would give rise to a conflict of interest under applicable Delaware law, (ii) such Change of Control transaction is with a third party unrelated to and unaffiliated with the Company, any of the Company’s controlled affiliates or any of the Company’s directors or executive officers, (iii) unless the Covered Entities consent to different treatment, the equity securities of the Company Beneficially Owned by the Covered Entities will receive the same form and amount of consideration per share, and will otherwise be subject to the same terms and conditions, as equity securities of the same class held by other stockholders of the Company in such Change of Control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portion of the consideration to be received by the Covered Entities consists of securities, the Company shall use commercially reasonable efforts to provide the Covered Entities with liquidity opportunities with respect to any such securities, including registration rights, and (iv) such Change of Control transaction does not result in the imposition of any new or additional restrictions on the Covered Entities with respect to the surviving, resulting or acquiring entity following consummation of such transaction. The Covered Entities shall not be subject to any restrictions with respect to the Voting Securities that are Beneficially Owned by the Covered Entities with respect to any votes or actions by written consent undertaken in connection with a Change of Control transaction with respect to which any of the conditions set forth in clauses (i) through (iv) of the immediately preceding sentence are not satisfied.”</w:t>
      </w:r>
    </w:p>
    <w:p>
      <w:pPr>
        <w:spacing w:after="0" w:line="200" w:lineRule="exact"/>
        <w:rPr>
          <w:sz w:val="20"/>
          <w:szCs w:val="20"/>
          <w:color w:val="auto"/>
        </w:rPr>
      </w:pPr>
    </w:p>
    <w:p>
      <w:pPr>
        <w:spacing w:after="0" w:line="20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 w:name="page7"/>
    <w:bookmarkEnd w:id="6"/>
    <w:p>
      <w:pPr>
        <w:ind w:left="328" w:right="4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18"/>
          <w:szCs w:val="18"/>
          <w:color w:val="auto"/>
        </w:rPr>
        <w:t>. New Sections 4, 5, 6, and 7 shall be added to the Agreement as set forth below, with the old Sections 4, 5, and 6 being renumbered 8, 9 and 10, respectively:</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Standstill. The Covered Entities shall not, acting alone or as part of a group (including any “group” within the meaning of Section 13(d)(3) of the Securities Exchange Act of 1934, as amended), directly or indirectly, acquire (a) any securities of the Company or any rights to acquire such securities or (b) any options, warrants, convertible or exchangeable securities, swaps, derivatives or other instruments, agreements or arrangements that provide the right to acquire or vote any securities of the Company (collectively, “</w:t>
      </w:r>
      <w:r>
        <w:rPr>
          <w:rFonts w:ascii="Times New Roman" w:cs="Times New Roman" w:eastAsia="Times New Roman" w:hAnsi="Times New Roman"/>
          <w:sz w:val="18"/>
          <w:szCs w:val="18"/>
          <w:u w:val="single" w:color="auto"/>
          <w:color w:val="auto"/>
        </w:rPr>
        <w:t>Derivative Securities</w:t>
      </w:r>
      <w:r>
        <w:rPr>
          <w:rFonts w:ascii="Times New Roman" w:cs="Times New Roman" w:eastAsia="Times New Roman" w:hAnsi="Times New Roman"/>
          <w:sz w:val="18"/>
          <w:szCs w:val="18"/>
          <w:color w:val="auto"/>
        </w:rPr>
        <w:t>”), in each case, whether immediately or upon the passage of time or satisfaction of any condition; provided, however, that the Covered Entities may acquire and Beneficially Own securities of the Company (including Derivative Securities) representing, in the aggregate, up to 29.9% of the outstanding shares of common stock of the Company (the “Cap”); provided, further, that any increase in the Covered Entities’ aggregate Beneficial Ownership above the Cap resulting from any repurchase, redemption or other acquisition of securities by the Company shall not constitute a breach of this Section 4, so long as the Covered Entities do not acquire any additional securities of the Company (including Derivative Securities) while such ownership exceeds 29.9%.</w:t>
      </w:r>
    </w:p>
    <w:p>
      <w:pPr>
        <w:spacing w:after="0" w:line="194" w:lineRule="exact"/>
        <w:rPr>
          <w:rFonts w:ascii="Times New Roman" w:cs="Times New Roman" w:eastAsia="Times New Roman" w:hAnsi="Times New Roman"/>
          <w:sz w:val="18"/>
          <w:szCs w:val="18"/>
          <w:color w:val="auto"/>
        </w:rPr>
      </w:pPr>
    </w:p>
    <w:p>
      <w:pPr>
        <w:jc w:val="both"/>
        <w:ind w:left="648" w:hanging="324"/>
        <w:spacing w:after="0" w:line="253" w:lineRule="auto"/>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The Company shall not, for so long as the Covered Entities comply with their respective obligations under this Agreement, implement a shareholder rights plan or take other defensive measures or actions, in each case primarily designed or intended to be adverse to the Covered Entities, or which the Company knows would be disproportionately adverse to the Covered Entities relative to other holders of equity securities of the same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shall not apply to any statements made by the Company in response to, or in connection with, any proxy contest, proxy solicitation or other contested solicitation of stockholder votes or consents involving the Company and its Voting Securities initiated, conducted or participated in (it being understood that casting a vote or executing a consent shall not be deemed to be “participating”) by any of the Covered Entities;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restrictions shall not limit actions taken by the Company directed at third parties who have agreed to purchase or have purchased a significant percentage of the Company’s outstanding Voting Securities from the Covered Entities, and the Covered Entities shall notify the Company at least four (4) business days prior to the consummation of any such transaction.</w:t>
      </w: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jc w:val="both"/>
        <w:ind w:left="648" w:hanging="324"/>
        <w:spacing w:after="0" w:line="258"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if any provision of this Agreement were not performed in accordance with its terms, and that each Party shall be entitled to an injunction or injunctions, specific performance and other equitable relief to prevent breaches of this Agreement and to enforce specifically its terms, without proof of actual damages and without any requirement to post a bond, in addition to any other remedy to which it is entitled at law or in equity.</w:t>
      </w:r>
    </w:p>
    <w:p>
      <w:pPr>
        <w:spacing w:after="0" w:line="183" w:lineRule="exact"/>
        <w:rPr>
          <w:rFonts w:ascii="Times New Roman" w:cs="Times New Roman" w:eastAsia="Times New Roman" w:hAnsi="Times New Roman"/>
          <w:sz w:val="18"/>
          <w:szCs w:val="18"/>
          <w:color w:val="auto"/>
        </w:rPr>
      </w:pPr>
    </w:p>
    <w:p>
      <w:pPr>
        <w:ind w:left="648" w:hanging="324"/>
        <w:spacing w:after="0" w:line="282"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modified, or supplemented, and any provisions hereof may be waived, only by a written instrument signed by each of the Parties (or in the case of a waiver, by the Party against whom such waiver is to be effective).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Agreement is hereby amended to:</w:t>
      </w:r>
    </w:p>
    <w:p>
      <w:pPr>
        <w:spacing w:after="0" w:line="225" w:lineRule="exact"/>
        <w:rPr>
          <w:rFonts w:ascii="Times New Roman" w:cs="Times New Roman" w:eastAsia="Times New Roman" w:hAnsi="Times New Roman"/>
          <w:sz w:val="18"/>
          <w:szCs w:val="18"/>
          <w:color w:val="auto"/>
        </w:rPr>
      </w:pPr>
    </w:p>
    <w:p>
      <w:pPr>
        <w:ind w:left="968" w:right="5160" w:hanging="320"/>
        <w:spacing w:after="0" w:line="500" w:lineRule="auto"/>
        <w:tabs>
          <w:tab w:leader="none" w:pos="96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the following definition in the appropriate alphabetical order: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“Change of Control” by adding the following at the end of such definition:</w:t>
      </w:r>
    </w:p>
    <w:p>
      <w:pPr>
        <w:spacing w:after="0" w:line="225" w:lineRule="exact"/>
        <w:rPr>
          <w:rFonts w:ascii="Times New Roman" w:cs="Times New Roman" w:eastAsia="Times New Roman" w:hAnsi="Times New Roman"/>
          <w:sz w:val="18"/>
          <w:szCs w:val="18"/>
          <w:color w:val="auto"/>
        </w:rPr>
      </w:pPr>
    </w:p>
    <w:p>
      <w:pPr>
        <w:jc w:val="both"/>
        <w:ind w:left="96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it is understood and agreed that in no event shall a Change of Control result from the Covered Entities, acting alone or as part of a group, in one or a series of transactions, acquiring Beneficial Ownership of Voting Securities possessing a majority of the total voting power of the Voting Securities of the Company, unless such transaction is specifically approved by the Board as a “Change of Control” under this Agreement.”</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the Amendment</w:t>
      </w:r>
      <w:r>
        <w:rPr>
          <w:rFonts w:ascii="Times New Roman" w:cs="Times New Roman" w:eastAsia="Times New Roman" w:hAnsi="Times New Roman"/>
          <w:sz w:val="18"/>
          <w:szCs w:val="18"/>
          <w:color w:val="auto"/>
        </w:rPr>
        <w:t>. Except as expressly provided in this Amendment, all of the terms and provisions of the Agreement are and will remain in full force and effect. On and after the Effective Date, each reference in the Agreement to “this Agreement,” “the Agreement,” “hereunder,” “hereof,” “herein” or words of like import, and each reference to the Agreement in any other agreements, documents, or instruments executed and delivered pursuant to, or in connection with, the Agreement, will mean and be a reference to the Agreement as amended by this Amendment. For the avoidance of doubt, nothing herein is intended to amend the Voting Cap Threshold set forth in the Agreement.</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4,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of the Agreement (without giving effect to this Amendment) are hereby expressly incorporated by reference and shall each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The Agreement, as amended by this Amendment, constitutes the entire agreement of the Parties with respect to the subject matter thereof. This Amendment may be executed in counterparts (including by electronic signature or other electronic transmission), each of which shall be deemed an original and all of which together shall constitute one and the same instrument.</w:t>
      </w:r>
    </w:p>
    <w:p>
      <w:pPr>
        <w:spacing w:after="0" w:line="1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[The remainder of this page is left blank intentionally.]</w:t>
      </w: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each executed this Amendment on the Effective Date.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MGM RESORTS INTERNATIONAL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Hornbuckle</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J. Hornbuckle</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IN WITNESS WHEREOF, the Parties hereto have each executed this Amendment on the Effective Date.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PEOPLE:</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PEOPLE INCORPORATED</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Timothy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Timothy Quinn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MR. BARRY DILLER: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
    <w:nsid w:val="5BD062C2"/>
    <w:multiLevelType w:val="hybridMultilevel"/>
    <w:lvl w:ilvl="0">
      <w:lvlJc w:val="left"/>
      <w:lvlText w:val="%1."/>
      <w:numFmt w:val="decimal"/>
      <w:start w:val="3"/>
    </w:lvl>
    <w:lvl w:ilvl="1">
      <w:lvlJc w:val="left"/>
      <w:lvlText w:val="%2."/>
      <w:numFmt w:val="decimal"/>
      <w:start w:val="4"/>
    </w:lvl>
  </w:abstractNum>
  <w:abstractNum w:abstractNumId="8">
    <w:nsid w:val="12200854"/>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9">
    <w:nsid w:val="4DB127F8"/>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2026-10-28T09:53:45Z</dcterms:created>
  <dcterms:modified xsi:type="dcterms:W3CDTF">2026-10-28T09:53:45Z</dcterms:modified>
</cp:coreProperties>
</file>