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8, 2005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IAC/INTERACTIVECORP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585" w:right="23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0-20570</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84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59-2712887</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5220" w:space="720"/>
            <w:col w:w="3120" w:space="720"/>
            <w:col w:w="1640"/>
          </w:cols>
          <w:pgMar w:left="240" w:top="585" w:right="239" w:bottom="0" w:gutter="0" w:footer="0" w:header="0"/>
          <w:type w:val="continuous"/>
        </w:sectPr>
      </w:pPr>
    </w:p>
    <w:p>
      <w:pPr>
        <w:spacing w:after="0" w:line="7" w:lineRule="exact"/>
        <w:rPr>
          <w:sz w:val="24"/>
          <w:szCs w:val="24"/>
          <w:color w:val="auto"/>
        </w:rPr>
      </w:pPr>
    </w:p>
    <w:p>
      <w:pPr>
        <w:ind w:left="2280"/>
        <w:spacing w:after="0"/>
        <w:rPr>
          <w:sz w:val="20"/>
          <w:szCs w:val="20"/>
          <w:color w:val="auto"/>
        </w:rPr>
      </w:pPr>
      <w:r>
        <w:rPr>
          <w:rFonts w:ascii="Arial" w:cs="Arial" w:eastAsia="Arial" w:hAnsi="Arial"/>
          <w:sz w:val="16"/>
          <w:szCs w:val="16"/>
          <w:b w:val="1"/>
          <w:bCs w:val="1"/>
          <w:color w:val="auto"/>
        </w:rPr>
        <w:t>152 West 57th Street, New York, NY</w:t>
      </w:r>
    </w:p>
    <w:p>
      <w:pPr>
        <w:spacing w:after="0" w:line="50" w:lineRule="exact"/>
        <w:rPr>
          <w:sz w:val="24"/>
          <w:szCs w:val="24"/>
          <w:color w:val="auto"/>
        </w:rPr>
      </w:pPr>
    </w:p>
    <w:p>
      <w:pPr>
        <w:ind w:left="22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54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380" w:space="720"/>
            <w:col w:w="2320"/>
          </w:cols>
          <w:pgMar w:left="240" w:top="585" w:right="239" w:bottom="0" w:gutter="0" w:footer="0" w:header="0"/>
          <w:type w:val="continuous"/>
        </w:sectPr>
      </w:pP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314-7300</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ITEM 7.01 REGULATION FD DISCLOSURE</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On June 8, 2005, the Registrant’s Executive Vice President and Chief Financial Officer gave a presentation at the Deutsche Bank Media Conference.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This presentation, which appears in Exhibit 99.1 hereto, is being furnished by the Registrant pursuant to Regulation FD.</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Exhibit 99.1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tbl>
      <w:tblPr>
        <w:tblLayout w:type="fixed"/>
        <w:tblInd w:w="5720" w:type="dxa"/>
        <w:tblCellMar>
          <w:top w:w="0" w:type="dxa"/>
          <w:left w:w="0" w:type="dxa"/>
          <w:bottom w:w="0" w:type="dxa"/>
          <w:right w:w="0" w:type="dxa"/>
        </w:tblCellMar>
      </w:tblP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IAC/INTERACTIVECORP</w:t>
            </w:r>
          </w:p>
        </w:tc>
        <w:tc>
          <w:tcPr>
            <w:tcW w:w="3580" w:type="dxa"/>
            <w:vAlign w:val="bottom"/>
          </w:tcPr>
          <w:p>
            <w:pPr>
              <w:spacing w:after="0"/>
              <w:rPr>
                <w:sz w:val="20"/>
                <w:szCs w:val="20"/>
                <w:color w:val="auto"/>
              </w:rPr>
            </w:pPr>
          </w:p>
        </w:tc>
      </w:tr>
      <w:tr>
        <w:trPr>
          <w:trHeight w:val="648"/>
        </w:trPr>
        <w:tc>
          <w:tcPr>
            <w:tcW w:w="2120" w:type="dxa"/>
            <w:vAlign w:val="bottom"/>
            <w:gridSpan w:val="2"/>
          </w:tcPr>
          <w:p>
            <w:pPr>
              <w:spacing w:after="0"/>
              <w:rPr>
                <w:sz w:val="20"/>
                <w:szCs w:val="20"/>
                <w:color w:val="auto"/>
              </w:rPr>
            </w:pPr>
            <w:r>
              <w:rPr>
                <w:rFonts w:ascii="Arial" w:cs="Arial" w:eastAsia="Arial" w:hAnsi="Arial"/>
                <w:sz w:val="18"/>
                <w:szCs w:val="18"/>
                <w:color w:val="auto"/>
              </w:rPr>
              <w:t>By:  /s/ Gregory R. Blatt</w:t>
            </w:r>
          </w:p>
        </w:tc>
        <w:tc>
          <w:tcPr>
            <w:tcW w:w="3580" w:type="dxa"/>
            <w:vAlign w:val="bottom"/>
          </w:tcPr>
          <w:p>
            <w:pPr>
              <w:spacing w:after="0"/>
              <w:rPr>
                <w:sz w:val="24"/>
                <w:szCs w:val="24"/>
                <w:color w:val="auto"/>
              </w:rPr>
            </w:pPr>
          </w:p>
        </w:tc>
      </w:tr>
      <w:tr>
        <w:trPr>
          <w:trHeight w:val="195"/>
        </w:trPr>
        <w:tc>
          <w:tcPr>
            <w:tcW w:w="420" w:type="dxa"/>
            <w:vAlign w:val="bottom"/>
          </w:tcPr>
          <w:p>
            <w:pPr>
              <w:spacing w:after="0" w:line="195" w:lineRule="exact"/>
              <w:rPr>
                <w:sz w:val="20"/>
                <w:szCs w:val="20"/>
                <w:color w:val="auto"/>
              </w:rPr>
            </w:pPr>
            <w:r>
              <w:rPr>
                <w:rFonts w:ascii="Arial" w:cs="Arial" w:eastAsia="Arial" w:hAnsi="Arial"/>
                <w:sz w:val="18"/>
                <w:szCs w:val="18"/>
                <w:color w:val="auto"/>
                <w:w w:val="75"/>
              </w:rPr>
              <w:t>Name:</w:t>
            </w:r>
          </w:p>
        </w:tc>
        <w:tc>
          <w:tcPr>
            <w:tcW w:w="170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Gregory R. Blatt</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10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General Counsel</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Date: June 8, 2005</w:t>
      </w:r>
    </w:p>
    <w:p>
      <w:pPr>
        <w:sectPr>
          <w:pgSz w:w="11900" w:h="16838" w:orient="portrait"/>
          <w:cols w:equalWidth="0" w:num="1">
            <w:col w:w="11420"/>
          </w:cols>
          <w:pgMar w:left="240" w:top="585"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80010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 w:name="page3"/>
    <w:bookmarkEnd w:id="2"/>
    <w:p>
      <w:pPr>
        <w:spacing w:after="0" w:line="62"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IAC/InterActiveCorp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Thomas J. McInerney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Executive Vice President &amp; CFO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Deutsche Bank Media Conference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June 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IAC’s </w:t>
      </w:r>
      <w:r>
        <w:rPr>
          <w:rFonts w:ascii="Arial" w:cs="Arial" w:eastAsia="Arial" w:hAnsi="Arial"/>
          <w:sz w:val="18"/>
          <w:szCs w:val="18"/>
          <w:b w:val="1"/>
          <w:bCs w:val="1"/>
          <w:color w:val="auto"/>
        </w:rPr>
        <w:t>strategy</w:t>
      </w:r>
      <w:r>
        <w:rPr>
          <w:rFonts w:ascii="Arial" w:cs="Arial" w:eastAsia="Arial" w:hAnsi="Arial"/>
          <w:sz w:val="18"/>
          <w:szCs w:val="18"/>
          <w:color w:val="auto"/>
        </w:rPr>
        <w:t xml:space="preserve"> is to </w:t>
      </w:r>
      <w:r>
        <w:rPr>
          <w:rFonts w:ascii="Arial" w:cs="Arial" w:eastAsia="Arial" w:hAnsi="Arial"/>
          <w:sz w:val="18"/>
          <w:szCs w:val="18"/>
          <w:i w:val="1"/>
          <w:iCs w:val="1"/>
          <w:color w:val="auto"/>
        </w:rPr>
        <w:t>create, acquire and build</w:t>
      </w:r>
      <w:r>
        <w:rPr>
          <w:rFonts w:ascii="Arial" w:cs="Arial" w:eastAsia="Arial" w:hAnsi="Arial"/>
          <w:sz w:val="18"/>
          <w:szCs w:val="18"/>
          <w:color w:val="auto"/>
        </w:rPr>
        <w:t xml:space="preserve"> businesses with</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leading positions in interactive markets.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4"/>
              </w:rPr>
              <w:t>Retailing</w:t>
            </w:r>
          </w:p>
        </w:tc>
        <w:tc>
          <w:tcPr>
            <w:tcW w:w="4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[HSN.com, America’s Store, Cornerstone Brands</w:t>
            </w:r>
          </w:p>
        </w:tc>
        <w:tc>
          <w:tcPr>
            <w:tcW w:w="326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4"/>
              </w:rPr>
              <w:t>59 million units sold</w:t>
            </w:r>
          </w:p>
        </w:tc>
      </w:tr>
      <w:tr>
        <w:trPr>
          <w:trHeight w:val="230"/>
        </w:trPr>
        <w:tc>
          <w:tcPr>
            <w:tcW w:w="3400" w:type="dxa"/>
            <w:vAlign w:val="bottom"/>
            <w:shd w:val="clear" w:color="auto" w:fill="CCEEFF"/>
          </w:tcPr>
          <w:p>
            <w:pPr>
              <w:spacing w:after="0"/>
              <w:rPr>
                <w:sz w:val="20"/>
                <w:szCs w:val="20"/>
                <w:color w:val="auto"/>
              </w:rPr>
            </w:pPr>
          </w:p>
        </w:tc>
        <w:tc>
          <w:tcPr>
            <w:tcW w:w="4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and HSE 24 logos]</w:t>
            </w:r>
          </w:p>
        </w:tc>
        <w:tc>
          <w:tcPr>
            <w:tcW w:w="3260" w:type="dxa"/>
            <w:vAlign w:val="bottom"/>
            <w:shd w:val="clear" w:color="auto" w:fill="CCEEFF"/>
          </w:tcPr>
          <w:p>
            <w:pPr>
              <w:spacing w:after="0"/>
              <w:rPr>
                <w:sz w:val="20"/>
                <w:szCs w:val="20"/>
                <w:color w:val="auto"/>
              </w:rPr>
            </w:pPr>
          </w:p>
        </w:tc>
      </w:tr>
      <w:tr>
        <w:trPr>
          <w:trHeight w:val="216"/>
        </w:trPr>
        <w:tc>
          <w:tcPr>
            <w:tcW w:w="34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02"/>
        </w:trPr>
        <w:tc>
          <w:tcPr>
            <w:tcW w:w="3400" w:type="dxa"/>
            <w:vAlign w:val="bottom"/>
            <w:shd w:val="clear" w:color="auto" w:fill="CCEEFF"/>
          </w:tcPr>
          <w:p>
            <w:pPr>
              <w:jc w:val="center"/>
              <w:ind w:left="190"/>
              <w:spacing w:after="0" w:line="201" w:lineRule="exact"/>
              <w:rPr>
                <w:sz w:val="20"/>
                <w:szCs w:val="20"/>
                <w:color w:val="auto"/>
              </w:rPr>
            </w:pPr>
            <w:r>
              <w:rPr>
                <w:rFonts w:ascii="Arial" w:cs="Arial" w:eastAsia="Arial" w:hAnsi="Arial"/>
                <w:sz w:val="18"/>
                <w:szCs w:val="18"/>
                <w:color w:val="auto"/>
                <w:w w:val="86"/>
              </w:rPr>
              <w:t>Services</w:t>
            </w:r>
          </w:p>
        </w:tc>
        <w:tc>
          <w:tcPr>
            <w:tcW w:w="4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[Ticketmaster, RealEstate.com, LendingTree, PRC</w:t>
            </w:r>
          </w:p>
        </w:tc>
        <w:tc>
          <w:tcPr>
            <w:tcW w:w="3260" w:type="dxa"/>
            <w:vAlign w:val="bottom"/>
            <w:shd w:val="clear" w:color="auto" w:fill="CCEEFF"/>
          </w:tcPr>
          <w:p>
            <w:pPr>
              <w:jc w:val="center"/>
              <w:ind w:right="310"/>
              <w:spacing w:after="0" w:line="201" w:lineRule="exact"/>
              <w:rPr>
                <w:sz w:val="20"/>
                <w:szCs w:val="20"/>
                <w:color w:val="auto"/>
              </w:rPr>
            </w:pPr>
            <w:r>
              <w:rPr>
                <w:rFonts w:ascii="Arial" w:cs="Arial" w:eastAsia="Arial" w:hAnsi="Arial"/>
                <w:sz w:val="18"/>
                <w:szCs w:val="18"/>
                <w:color w:val="auto"/>
                <w:w w:val="94"/>
              </w:rPr>
              <w:t>105 million units sold</w:t>
            </w:r>
          </w:p>
        </w:tc>
      </w:tr>
      <w:tr>
        <w:trPr>
          <w:trHeight w:val="230"/>
        </w:trPr>
        <w:tc>
          <w:tcPr>
            <w:tcW w:w="3400" w:type="dxa"/>
            <w:vAlign w:val="bottom"/>
            <w:shd w:val="clear" w:color="auto" w:fill="CCEEFF"/>
          </w:tcPr>
          <w:p>
            <w:pPr>
              <w:spacing w:after="0"/>
              <w:rPr>
                <w:sz w:val="20"/>
                <w:szCs w:val="20"/>
                <w:color w:val="auto"/>
              </w:rPr>
            </w:pPr>
          </w:p>
        </w:tc>
        <w:tc>
          <w:tcPr>
            <w:tcW w:w="4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and ServiceMagic logos]</w:t>
            </w:r>
          </w:p>
        </w:tc>
        <w:tc>
          <w:tcPr>
            <w:tcW w:w="3260" w:type="dxa"/>
            <w:vAlign w:val="bottom"/>
            <w:shd w:val="clear" w:color="auto" w:fill="CCEEFF"/>
          </w:tcPr>
          <w:p>
            <w:pPr>
              <w:spacing w:after="0"/>
              <w:rPr>
                <w:sz w:val="20"/>
                <w:szCs w:val="20"/>
                <w:color w:val="auto"/>
              </w:rPr>
            </w:pPr>
          </w:p>
        </w:tc>
      </w:tr>
      <w:tr>
        <w:trPr>
          <w:trHeight w:val="216"/>
        </w:trPr>
        <w:tc>
          <w:tcPr>
            <w:tcW w:w="34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02"/>
        </w:trPr>
        <w:tc>
          <w:tcPr>
            <w:tcW w:w="3400" w:type="dxa"/>
            <w:vAlign w:val="bottom"/>
            <w:shd w:val="clear" w:color="auto" w:fill="CCEEFF"/>
          </w:tcPr>
          <w:p>
            <w:pPr>
              <w:jc w:val="center"/>
              <w:ind w:left="190"/>
              <w:spacing w:after="0" w:line="201" w:lineRule="exact"/>
              <w:rPr>
                <w:sz w:val="20"/>
                <w:szCs w:val="20"/>
                <w:color w:val="auto"/>
              </w:rPr>
            </w:pPr>
            <w:r>
              <w:rPr>
                <w:rFonts w:ascii="Arial" w:cs="Arial" w:eastAsia="Arial" w:hAnsi="Arial"/>
                <w:sz w:val="18"/>
                <w:szCs w:val="18"/>
                <w:color w:val="auto"/>
                <w:w w:val="92"/>
              </w:rPr>
              <w:t>Membership &amp; Subscriptions</w:t>
            </w:r>
          </w:p>
        </w:tc>
        <w:tc>
          <w:tcPr>
            <w:tcW w:w="4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[Match.com, Interval International and</w:t>
            </w:r>
          </w:p>
        </w:tc>
        <w:tc>
          <w:tcPr>
            <w:tcW w:w="3260" w:type="dxa"/>
            <w:vAlign w:val="bottom"/>
            <w:shd w:val="clear" w:color="auto" w:fill="CCEEFF"/>
          </w:tcPr>
          <w:p>
            <w:pPr>
              <w:jc w:val="center"/>
              <w:ind w:right="290"/>
              <w:spacing w:after="0" w:line="201" w:lineRule="exact"/>
              <w:rPr>
                <w:sz w:val="20"/>
                <w:szCs w:val="20"/>
                <w:color w:val="auto"/>
              </w:rPr>
            </w:pPr>
            <w:r>
              <w:rPr>
                <w:rFonts w:ascii="Arial" w:cs="Arial" w:eastAsia="Arial" w:hAnsi="Arial"/>
                <w:sz w:val="18"/>
                <w:szCs w:val="18"/>
                <w:color w:val="auto"/>
                <w:w w:val="92"/>
              </w:rPr>
              <w:t>11 million members</w:t>
            </w:r>
          </w:p>
        </w:tc>
      </w:tr>
      <w:tr>
        <w:trPr>
          <w:trHeight w:val="230"/>
        </w:trPr>
        <w:tc>
          <w:tcPr>
            <w:tcW w:w="3400" w:type="dxa"/>
            <w:vAlign w:val="bottom"/>
            <w:shd w:val="clear" w:color="auto" w:fill="CCEEFF"/>
          </w:tcPr>
          <w:p>
            <w:pPr>
              <w:spacing w:after="0"/>
              <w:rPr>
                <w:sz w:val="20"/>
                <w:szCs w:val="20"/>
                <w:color w:val="auto"/>
              </w:rPr>
            </w:pPr>
          </w:p>
        </w:tc>
        <w:tc>
          <w:tcPr>
            <w:tcW w:w="47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2"/>
              </w:rPr>
              <w:t>Entertainment Publications logos]</w:t>
            </w:r>
          </w:p>
        </w:tc>
        <w:tc>
          <w:tcPr>
            <w:tcW w:w="3260" w:type="dxa"/>
            <w:vAlign w:val="bottom"/>
            <w:shd w:val="clear" w:color="auto" w:fill="CCEEFF"/>
          </w:tcPr>
          <w:p>
            <w:pPr>
              <w:spacing w:after="0"/>
              <w:rPr>
                <w:sz w:val="20"/>
                <w:szCs w:val="20"/>
                <w:color w:val="auto"/>
              </w:rPr>
            </w:pPr>
          </w:p>
        </w:tc>
      </w:tr>
      <w:tr>
        <w:trPr>
          <w:trHeight w:val="216"/>
        </w:trPr>
        <w:tc>
          <w:tcPr>
            <w:tcW w:w="34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34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6"/>
              </w:rPr>
              <w:t>Media &amp; Advertising</w:t>
            </w:r>
          </w:p>
        </w:tc>
        <w:tc>
          <w:tcPr>
            <w:tcW w:w="47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[AskJeeves, Citysearch and Evite logos]</w:t>
            </w:r>
          </w:p>
        </w:tc>
        <w:tc>
          <w:tcPr>
            <w:tcW w:w="326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2"/>
              </w:rPr>
              <w:t>52 million unique users</w:t>
            </w:r>
          </w:p>
        </w:tc>
      </w:tr>
    </w:tbl>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xml:space="preserve">IAC’s </w:t>
      </w:r>
      <w:r>
        <w:rPr>
          <w:rFonts w:ascii="Arial" w:cs="Arial" w:eastAsia="Arial" w:hAnsi="Arial"/>
          <w:sz w:val="18"/>
          <w:szCs w:val="18"/>
          <w:b w:val="1"/>
          <w:bCs w:val="1"/>
          <w:color w:val="auto"/>
        </w:rPr>
        <w:t>operations</w:t>
      </w:r>
      <w:r>
        <w:rPr>
          <w:rFonts w:ascii="Arial" w:cs="Arial" w:eastAsia="Arial" w:hAnsi="Arial"/>
          <w:sz w:val="18"/>
          <w:szCs w:val="18"/>
          <w:color w:val="auto"/>
        </w:rPr>
        <w:t xml:space="preserve"> encompass multiple brands in broad segments where interactivity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is fostering change and creating opportunity.</w:t>
      </w:r>
    </w:p>
    <w:p>
      <w:pPr>
        <w:spacing w:after="0" w:line="200" w:lineRule="exact"/>
        <w:rPr>
          <w:sz w:val="20"/>
          <w:szCs w:val="20"/>
          <w:color w:val="auto"/>
        </w:rPr>
      </w:pPr>
    </w:p>
    <w:p>
      <w:pPr>
        <w:spacing w:after="0" w:line="223" w:lineRule="exact"/>
        <w:rPr>
          <w:sz w:val="20"/>
          <w:szCs w:val="20"/>
          <w:color w:val="auto"/>
        </w:rPr>
      </w:pPr>
    </w:p>
    <w:p>
      <w:pPr>
        <w:spacing w:after="0"/>
        <w:tabs>
          <w:tab w:leader="none" w:pos="2240" w:val="left"/>
        </w:tabs>
        <w:rPr>
          <w:sz w:val="20"/>
          <w:szCs w:val="20"/>
          <w:color w:val="auto"/>
        </w:rPr>
      </w:pPr>
      <w:r>
        <w:rPr>
          <w:rFonts w:ascii="Arial" w:cs="Arial" w:eastAsia="Arial" w:hAnsi="Arial"/>
          <w:sz w:val="17"/>
          <w:szCs w:val="17"/>
          <w:b w:val="1"/>
          <w:bCs w:val="1"/>
          <w:color w:val="auto"/>
        </w:rPr>
        <w:t>IAC/InterActiveCorp</w:t>
      </w:r>
      <w:r>
        <w:rPr>
          <w:sz w:val="20"/>
          <w:szCs w:val="20"/>
          <w:color w:val="auto"/>
        </w:rPr>
        <w:tab/>
      </w:r>
      <w:r>
        <w:rPr>
          <w:rFonts w:ascii="Arial" w:cs="Arial" w:eastAsia="Arial" w:hAnsi="Arial"/>
          <w:sz w:val="17"/>
          <w:szCs w:val="17"/>
          <w:i w:val="1"/>
          <w:iCs w:val="1"/>
          <w:color w:val="auto"/>
        </w:rPr>
        <w:t>Retailing units: HSN worldwide ‘04 + Cornerstone fiscal YE 1/31/05. Services units: tickets ‘04 + LendingTree transactions</w:t>
      </w:r>
    </w:p>
    <w:p>
      <w:pPr>
        <w:spacing w:after="0" w:line="39"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Prepared June 7, 2005</w:t>
      </w:r>
      <w:r>
        <w:rPr>
          <w:sz w:val="20"/>
          <w:szCs w:val="20"/>
          <w:color w:val="auto"/>
        </w:rPr>
        <w:tab/>
      </w:r>
      <w:r>
        <w:rPr>
          <w:rFonts w:ascii="Arial" w:cs="Arial" w:eastAsia="Arial" w:hAnsi="Arial"/>
          <w:sz w:val="16"/>
          <w:szCs w:val="16"/>
          <w:i w:val="1"/>
          <w:iCs w:val="1"/>
          <w:color w:val="auto"/>
        </w:rPr>
        <w:t>‘04. Members: Match paid subscribers @ 12/31 + Interval members @ 12/31 + est. EPI books sold ‘04. Media users: Ask</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i w:val="1"/>
          <w:iCs w:val="1"/>
          <w:color w:val="auto"/>
        </w:rPr>
        <w:t>Jeeves, Citysearch and Evite unique users – undupe (source: comScore).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860" w:type="dxa"/>
            <w:vAlign w:val="bottom"/>
          </w:tcPr>
          <w:p>
            <w:pPr>
              <w:jc w:val="right"/>
              <w:ind w:right="5590"/>
              <w:spacing w:after="0"/>
              <w:rPr>
                <w:sz w:val="20"/>
                <w:szCs w:val="20"/>
                <w:color w:val="auto"/>
              </w:rPr>
            </w:pPr>
            <w:r>
              <w:rPr>
                <w:rFonts w:ascii="Arial" w:cs="Arial" w:eastAsia="Arial" w:hAnsi="Arial"/>
                <w:sz w:val="18"/>
                <w:szCs w:val="18"/>
                <w:color w:val="auto"/>
              </w:rPr>
              <w:t>2</w:t>
            </w:r>
          </w:p>
        </w:tc>
      </w:tr>
      <w:tr>
        <w:trPr>
          <w:trHeight w:val="105"/>
        </w:trPr>
        <w:tc>
          <w:tcPr>
            <w:tcW w:w="5580" w:type="dxa"/>
            <w:vAlign w:val="bottom"/>
            <w:tcBorders>
              <w:bottom w:val="single" w:sz="8" w:color="808080"/>
            </w:tcBorders>
          </w:tcPr>
          <w:p>
            <w:pPr>
              <w:spacing w:after="0"/>
              <w:rPr>
                <w:sz w:val="9"/>
                <w:szCs w:val="9"/>
                <w:color w:val="auto"/>
              </w:rPr>
            </w:pPr>
          </w:p>
        </w:tc>
        <w:tc>
          <w:tcPr>
            <w:tcW w:w="5860" w:type="dxa"/>
            <w:vAlign w:val="bottom"/>
            <w:tcBorders>
              <w:bottom w:val="single" w:sz="8" w:color="808080"/>
            </w:tcBorders>
          </w:tcPr>
          <w:p>
            <w:pPr>
              <w:spacing w:after="0"/>
              <w:rPr>
                <w:sz w:val="9"/>
                <w:szCs w:val="9"/>
                <w:color w:val="auto"/>
              </w:rPr>
            </w:pPr>
          </w:p>
        </w:tc>
      </w:tr>
      <w:tr>
        <w:trPr>
          <w:trHeight w:val="752"/>
        </w:trPr>
        <w:tc>
          <w:tcPr>
            <w:tcW w:w="5580" w:type="dxa"/>
            <w:vAlign w:val="bottom"/>
          </w:tcPr>
          <w:p>
            <w:pPr>
              <w:spacing w:after="0"/>
              <w:rPr>
                <w:sz w:val="20"/>
                <w:szCs w:val="20"/>
                <w:color w:val="auto"/>
              </w:rPr>
            </w:pPr>
            <w:r>
              <w:rPr>
                <w:rFonts w:ascii="Arial" w:cs="Arial" w:eastAsia="Arial" w:hAnsi="Arial"/>
                <w:sz w:val="18"/>
                <w:szCs w:val="18"/>
                <w:color w:val="auto"/>
              </w:rPr>
              <w:t>New IAC</w:t>
            </w:r>
          </w:p>
        </w:tc>
        <w:tc>
          <w:tcPr>
            <w:tcW w:w="5860" w:type="dxa"/>
            <w:vAlign w:val="bottom"/>
          </w:tcPr>
          <w:p>
            <w:pPr>
              <w:spacing w:after="0"/>
              <w:rPr>
                <w:sz w:val="24"/>
                <w:szCs w:val="24"/>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5860" w:type="dxa"/>
            <w:vAlign w:val="bottom"/>
          </w:tcPr>
          <w:p>
            <w:pPr>
              <w:spacing w:after="0"/>
              <w:rPr>
                <w:sz w:val="20"/>
                <w:szCs w:val="20"/>
                <w:color w:val="auto"/>
              </w:rPr>
            </w:pPr>
          </w:p>
        </w:tc>
      </w:tr>
      <w:tr>
        <w:trPr>
          <w:trHeight w:val="418"/>
        </w:trPr>
        <w:tc>
          <w:tcPr>
            <w:tcW w:w="5580" w:type="dxa"/>
            <w:vAlign w:val="bottom"/>
          </w:tcPr>
          <w:p>
            <w:pPr>
              <w:jc w:val="center"/>
              <w:spacing w:after="0"/>
              <w:rPr>
                <w:sz w:val="20"/>
                <w:szCs w:val="20"/>
                <w:color w:val="auto"/>
              </w:rPr>
            </w:pPr>
            <w:r>
              <w:rPr>
                <w:rFonts w:ascii="Arial" w:cs="Arial" w:eastAsia="Arial" w:hAnsi="Arial"/>
                <w:sz w:val="18"/>
                <w:szCs w:val="18"/>
                <w:color w:val="auto"/>
                <w:w w:val="92"/>
              </w:rPr>
              <w:t>[Bar graph showing New IAC revenues for 2003 ($3,832), 2004 ($4,206),</w:t>
            </w:r>
          </w:p>
        </w:tc>
        <w:tc>
          <w:tcPr>
            <w:tcW w:w="5860" w:type="dxa"/>
            <w:vAlign w:val="bottom"/>
          </w:tcPr>
          <w:p>
            <w:pPr>
              <w:jc w:val="center"/>
              <w:ind w:left="170"/>
              <w:spacing w:after="0"/>
              <w:rPr>
                <w:sz w:val="20"/>
                <w:szCs w:val="20"/>
                <w:color w:val="auto"/>
              </w:rPr>
            </w:pPr>
            <w:r>
              <w:rPr>
                <w:rFonts w:ascii="Arial" w:cs="Arial" w:eastAsia="Arial" w:hAnsi="Arial"/>
                <w:sz w:val="18"/>
                <w:szCs w:val="18"/>
                <w:color w:val="auto"/>
                <w:w w:val="93"/>
              </w:rPr>
              <w:t>[Bar graph showing New IAC Operating Income Before Amoritzation for</w:t>
            </w:r>
          </w:p>
        </w:tc>
      </w:tr>
      <w:tr>
        <w:trPr>
          <w:trHeight w:val="216"/>
        </w:trPr>
        <w:tc>
          <w:tcPr>
            <w:tcW w:w="5580" w:type="dxa"/>
            <w:vAlign w:val="bottom"/>
          </w:tcPr>
          <w:p>
            <w:pPr>
              <w:jc w:val="center"/>
              <w:spacing w:after="0"/>
              <w:rPr>
                <w:sz w:val="20"/>
                <w:szCs w:val="20"/>
                <w:color w:val="auto"/>
              </w:rPr>
            </w:pPr>
            <w:r>
              <w:rPr>
                <w:rFonts w:ascii="Arial" w:cs="Arial" w:eastAsia="Arial" w:hAnsi="Arial"/>
                <w:sz w:val="18"/>
                <w:szCs w:val="18"/>
                <w:color w:val="auto"/>
                <w:w w:val="89"/>
              </w:rPr>
              <w:t>Q1 04 ($1,023) and Q1 05 ($1,165) and related year-over-year (+10%) and</w:t>
            </w:r>
          </w:p>
        </w:tc>
        <w:tc>
          <w:tcPr>
            <w:tcW w:w="5860" w:type="dxa"/>
            <w:vAlign w:val="bottom"/>
          </w:tcPr>
          <w:p>
            <w:pPr>
              <w:jc w:val="center"/>
              <w:ind w:left="170"/>
              <w:spacing w:after="0"/>
              <w:rPr>
                <w:sz w:val="20"/>
                <w:szCs w:val="20"/>
                <w:color w:val="auto"/>
              </w:rPr>
            </w:pPr>
            <w:r>
              <w:rPr>
                <w:rFonts w:ascii="Arial" w:cs="Arial" w:eastAsia="Arial" w:hAnsi="Arial"/>
                <w:sz w:val="18"/>
                <w:szCs w:val="18"/>
                <w:color w:val="auto"/>
                <w:w w:val="90"/>
              </w:rPr>
              <w:t>2003 ($375), 2004 ($437), Q1 04 ($93) and Q1 05 ($118) and related year-</w:t>
            </w:r>
          </w:p>
        </w:tc>
      </w:tr>
      <w:tr>
        <w:trPr>
          <w:trHeight w:val="230"/>
        </w:trPr>
        <w:tc>
          <w:tcPr>
            <w:tcW w:w="5580" w:type="dxa"/>
            <w:vAlign w:val="bottom"/>
          </w:tcPr>
          <w:p>
            <w:pPr>
              <w:jc w:val="center"/>
              <w:spacing w:after="0"/>
              <w:rPr>
                <w:sz w:val="20"/>
                <w:szCs w:val="20"/>
                <w:color w:val="auto"/>
              </w:rPr>
            </w:pPr>
            <w:r>
              <w:rPr>
                <w:rFonts w:ascii="Arial" w:cs="Arial" w:eastAsia="Arial" w:hAnsi="Arial"/>
                <w:sz w:val="18"/>
                <w:szCs w:val="18"/>
                <w:color w:val="auto"/>
                <w:w w:val="90"/>
              </w:rPr>
              <w:t>quarter-over-quarter changes (+14%)]</w:t>
            </w:r>
          </w:p>
        </w:tc>
        <w:tc>
          <w:tcPr>
            <w:tcW w:w="5860" w:type="dxa"/>
            <w:vAlign w:val="bottom"/>
          </w:tcPr>
          <w:p>
            <w:pPr>
              <w:jc w:val="center"/>
              <w:ind w:left="170"/>
              <w:spacing w:after="0"/>
              <w:rPr>
                <w:sz w:val="20"/>
                <w:szCs w:val="20"/>
                <w:color w:val="auto"/>
              </w:rPr>
            </w:pPr>
            <w:r>
              <w:rPr>
                <w:rFonts w:ascii="Arial" w:cs="Arial" w:eastAsia="Arial" w:hAnsi="Arial"/>
                <w:sz w:val="18"/>
                <w:szCs w:val="18"/>
                <w:color w:val="auto"/>
                <w:w w:val="90"/>
              </w:rPr>
              <w:t>over-year (+17%) and quarter-over-quarter changes (+27%)]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-1186815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-1186815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Not pro forma for Ask Jeeves (deal pending) and Cornerstone (acquired 4/1/05).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IAC/InterActiveCorp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Prepared June 7, 2005</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Unique Advantages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Advantage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60" w:type="dxa"/>
            <w:vAlign w:val="bottom"/>
            <w:gridSpan w:val="2"/>
          </w:tcPr>
          <w:p>
            <w:pPr>
              <w:ind w:left="1420"/>
              <w:spacing w:after="0"/>
              <w:rPr>
                <w:sz w:val="20"/>
                <w:szCs w:val="20"/>
                <w:color w:val="auto"/>
              </w:rPr>
            </w:pPr>
            <w:r>
              <w:rPr>
                <w:rFonts w:ascii="Arial" w:cs="Arial" w:eastAsia="Arial" w:hAnsi="Arial"/>
                <w:sz w:val="14"/>
                <w:szCs w:val="14"/>
                <w:b w:val="1"/>
                <w:bCs w:val="1"/>
                <w:color w:val="auto"/>
              </w:rPr>
              <w:t>Specifics</w:t>
            </w:r>
          </w:p>
        </w:tc>
        <w:tc>
          <w:tcPr>
            <w:tcW w:w="3620" w:type="dxa"/>
            <w:vAlign w:val="bottom"/>
          </w:tcPr>
          <w:p>
            <w:pPr>
              <w:ind w:left="1540"/>
              <w:spacing w:after="0"/>
              <w:rPr>
                <w:sz w:val="20"/>
                <w:szCs w:val="20"/>
                <w:color w:val="auto"/>
              </w:rPr>
            </w:pPr>
            <w:r>
              <w:rPr>
                <w:rFonts w:ascii="Arial" w:cs="Arial" w:eastAsia="Arial" w:hAnsi="Arial"/>
                <w:sz w:val="14"/>
                <w:szCs w:val="14"/>
                <w:b w:val="1"/>
                <w:bCs w:val="1"/>
                <w:color w:val="auto"/>
              </w:rPr>
              <w:t>Example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5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Experience &amp; Long Term Philosophy</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w:t>
            </w:r>
          </w:p>
        </w:tc>
        <w:tc>
          <w:tcPr>
            <w:tcW w:w="3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Strategic focus</w:t>
            </w: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[Citysearch logo]</w:t>
            </w: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362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w:t>
            </w:r>
          </w:p>
        </w:tc>
        <w:tc>
          <w:tcPr>
            <w:tcW w:w="3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Competitive differentiation</w:t>
            </w:r>
          </w:p>
        </w:tc>
        <w:tc>
          <w:tcPr>
            <w:tcW w:w="3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Strong Brands</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w:t>
            </w:r>
          </w:p>
        </w:tc>
        <w:tc>
          <w:tcPr>
            <w:tcW w:w="3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Leading franchise names</w:t>
            </w: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logo]</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6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5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21" w:right="21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1740" w:type="dxa"/>
            <w:vAlign w:val="bottom"/>
            <w:shd w:val="clear" w:color="auto" w:fill="CCEEFF"/>
          </w:tcPr>
          <w:p>
            <w:pPr>
              <w:ind w:left="1620"/>
              <w:spacing w:after="0"/>
              <w:rPr>
                <w:sz w:val="20"/>
                <w:szCs w:val="20"/>
                <w:color w:val="auto"/>
              </w:rPr>
            </w:pPr>
            <w:r>
              <w:rPr>
                <w:rFonts w:ascii="Arial" w:cs="Arial" w:eastAsia="Arial" w:hAnsi="Arial"/>
                <w:sz w:val="22"/>
                <w:szCs w:val="22"/>
                <w:color w:val="auto"/>
              </w:rPr>
              <w:t>•</w:t>
            </w:r>
          </w:p>
        </w:tc>
        <w:tc>
          <w:tcPr>
            <w:tcW w:w="1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Proven track record</w:t>
            </w:r>
          </w:p>
        </w:tc>
        <w:tc>
          <w:tcPr>
            <w:tcW w:w="1840" w:type="dxa"/>
            <w:vAlign w:val="bottom"/>
            <w:shd w:val="clear" w:color="auto" w:fill="CCEEFF"/>
          </w:tcPr>
          <w:p>
            <w:pPr>
              <w:spacing w:after="0"/>
              <w:rPr>
                <w:sz w:val="21"/>
                <w:szCs w:val="21"/>
                <w:color w:val="auto"/>
              </w:rPr>
            </w:pPr>
          </w:p>
        </w:tc>
        <w:tc>
          <w:tcPr>
            <w:tcW w:w="39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5"/>
              </w:rPr>
              <w:t>Great Consumer Experiences</w:t>
            </w:r>
          </w:p>
        </w:tc>
        <w:tc>
          <w:tcPr>
            <w:tcW w:w="1740" w:type="dxa"/>
            <w:vAlign w:val="bottom"/>
            <w:shd w:val="clear" w:color="auto" w:fill="CCEEFF"/>
          </w:tcPr>
          <w:p>
            <w:pPr>
              <w:ind w:left="1620"/>
              <w:spacing w:after="0"/>
              <w:rPr>
                <w:sz w:val="20"/>
                <w:szCs w:val="20"/>
                <w:color w:val="auto"/>
              </w:rPr>
            </w:pPr>
            <w:r>
              <w:rPr>
                <w:rFonts w:ascii="Arial" w:cs="Arial" w:eastAsia="Arial" w:hAnsi="Arial"/>
                <w:sz w:val="22"/>
                <w:szCs w:val="22"/>
                <w:color w:val="auto"/>
              </w:rPr>
              <w:t>•</w:t>
            </w:r>
          </w:p>
        </w:tc>
        <w:tc>
          <w:tcPr>
            <w:tcW w:w="1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Outstanding websites</w:t>
            </w:r>
          </w:p>
        </w:tc>
        <w:tc>
          <w:tcPr>
            <w:tcW w:w="1840" w:type="dxa"/>
            <w:vAlign w:val="bottom"/>
            <w:shd w:val="clear" w:color="auto" w:fill="CCEEFF"/>
          </w:tcPr>
          <w:p>
            <w:pPr>
              <w:spacing w:after="0"/>
              <w:rPr>
                <w:sz w:val="23"/>
                <w:szCs w:val="23"/>
                <w:color w:val="auto"/>
              </w:rPr>
            </w:pPr>
          </w:p>
        </w:tc>
        <w:tc>
          <w:tcPr>
            <w:tcW w:w="3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[HSN.com logo]</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740" w:type="dxa"/>
            <w:vAlign w:val="bottom"/>
            <w:shd w:val="clear" w:color="auto" w:fill="CCEEFF"/>
          </w:tcPr>
          <w:p>
            <w:pPr>
              <w:ind w:left="1620"/>
              <w:spacing w:after="0"/>
              <w:rPr>
                <w:sz w:val="20"/>
                <w:szCs w:val="20"/>
                <w:color w:val="auto"/>
              </w:rPr>
            </w:pPr>
            <w:r>
              <w:rPr>
                <w:rFonts w:ascii="Arial" w:cs="Arial" w:eastAsia="Arial" w:hAnsi="Arial"/>
                <w:sz w:val="22"/>
                <w:szCs w:val="22"/>
                <w:color w:val="auto"/>
              </w:rPr>
              <w:t>•</w:t>
            </w:r>
          </w:p>
        </w:tc>
        <w:tc>
          <w:tcPr>
            <w:tcW w:w="3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Excellent customer service</w:t>
            </w:r>
          </w:p>
        </w:tc>
        <w:tc>
          <w:tcPr>
            <w:tcW w:w="39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60" w:type="dxa"/>
            <w:vAlign w:val="bottom"/>
            <w:gridSpan w:val="2"/>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0"/>
              </w:rPr>
              <w:t>Innovative Products &amp; Services</w:t>
            </w:r>
          </w:p>
        </w:tc>
        <w:tc>
          <w:tcPr>
            <w:tcW w:w="1740" w:type="dxa"/>
            <w:vAlign w:val="bottom"/>
            <w:shd w:val="clear" w:color="auto" w:fill="CCEEFF"/>
          </w:tcPr>
          <w:p>
            <w:pPr>
              <w:ind w:left="1620"/>
              <w:spacing w:after="0"/>
              <w:rPr>
                <w:sz w:val="20"/>
                <w:szCs w:val="20"/>
                <w:color w:val="auto"/>
              </w:rPr>
            </w:pPr>
            <w:r>
              <w:rPr>
                <w:rFonts w:ascii="Arial" w:cs="Arial" w:eastAsia="Arial" w:hAnsi="Arial"/>
                <w:sz w:val="22"/>
                <w:szCs w:val="22"/>
                <w:color w:val="auto"/>
              </w:rPr>
              <w:t>•</w:t>
            </w:r>
          </w:p>
        </w:tc>
        <w:tc>
          <w:tcPr>
            <w:tcW w:w="3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New ideas for same infrastructure</w:t>
            </w:r>
          </w:p>
        </w:tc>
        <w:tc>
          <w:tcPr>
            <w:tcW w:w="3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[Entertainment publications logo]</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740" w:type="dxa"/>
            <w:vAlign w:val="bottom"/>
            <w:shd w:val="clear" w:color="auto" w:fill="CCEEFF"/>
          </w:tcPr>
          <w:p>
            <w:pPr>
              <w:ind w:left="1620"/>
              <w:spacing w:after="0"/>
              <w:rPr>
                <w:sz w:val="20"/>
                <w:szCs w:val="20"/>
                <w:color w:val="auto"/>
              </w:rPr>
            </w:pPr>
            <w:r>
              <w:rPr>
                <w:rFonts w:ascii="Arial" w:cs="Arial" w:eastAsia="Arial" w:hAnsi="Arial"/>
                <w:sz w:val="22"/>
                <w:szCs w:val="22"/>
                <w:color w:val="auto"/>
              </w:rPr>
              <w:t>•</w:t>
            </w:r>
          </w:p>
        </w:tc>
        <w:tc>
          <w:tcPr>
            <w:tcW w:w="3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Shared technology &amp; knowledge</w:t>
            </w:r>
          </w:p>
        </w:tc>
        <w:tc>
          <w:tcPr>
            <w:tcW w:w="39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60" w:type="dxa"/>
            <w:vAlign w:val="bottom"/>
            <w:gridSpan w:val="2"/>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Strategic Acqusitions</w:t>
            </w:r>
          </w:p>
        </w:tc>
        <w:tc>
          <w:tcPr>
            <w:tcW w:w="1740" w:type="dxa"/>
            <w:vAlign w:val="bottom"/>
            <w:shd w:val="clear" w:color="auto" w:fill="CCEEFF"/>
          </w:tcPr>
          <w:p>
            <w:pPr>
              <w:ind w:left="1620"/>
              <w:spacing w:after="0"/>
              <w:rPr>
                <w:sz w:val="20"/>
                <w:szCs w:val="20"/>
                <w:color w:val="auto"/>
              </w:rPr>
            </w:pPr>
            <w:r>
              <w:rPr>
                <w:rFonts w:ascii="Arial" w:cs="Arial" w:eastAsia="Arial" w:hAnsi="Arial"/>
                <w:sz w:val="22"/>
                <w:szCs w:val="22"/>
                <w:color w:val="auto"/>
              </w:rPr>
              <w:t>•</w:t>
            </w:r>
          </w:p>
        </w:tc>
        <w:tc>
          <w:tcPr>
            <w:tcW w:w="3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Strengthen market position</w:t>
            </w:r>
          </w:p>
        </w:tc>
        <w:tc>
          <w:tcPr>
            <w:tcW w:w="3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[Ticketmaster logo]</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740" w:type="dxa"/>
            <w:vAlign w:val="bottom"/>
            <w:shd w:val="clear" w:color="auto" w:fill="CCEEFF"/>
          </w:tcPr>
          <w:p>
            <w:pPr>
              <w:ind w:left="1620"/>
              <w:spacing w:after="0"/>
              <w:rPr>
                <w:sz w:val="20"/>
                <w:szCs w:val="20"/>
                <w:color w:val="auto"/>
              </w:rPr>
            </w:pPr>
            <w:r>
              <w:rPr>
                <w:rFonts w:ascii="Arial" w:cs="Arial" w:eastAsia="Arial" w:hAnsi="Arial"/>
                <w:sz w:val="22"/>
                <w:szCs w:val="22"/>
                <w:color w:val="auto"/>
              </w:rPr>
              <w:t>•</w:t>
            </w:r>
          </w:p>
        </w:tc>
        <w:tc>
          <w:tcPr>
            <w:tcW w:w="1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Financially attractive</w:t>
            </w:r>
          </w:p>
        </w:tc>
        <w:tc>
          <w:tcPr>
            <w:tcW w:w="18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IAC/InterActiveCorp</w:t>
            </w: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Prepared June 7, 2005</w:t>
            </w:r>
          </w:p>
        </w:tc>
        <w:tc>
          <w:tcPr>
            <w:tcW w:w="1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40" w:type="dxa"/>
            <w:vAlign w:val="bottom"/>
          </w:tcPr>
          <w:p>
            <w:pPr>
              <w:jc w:val="center"/>
              <w:ind w:right="1650"/>
              <w:spacing w:after="0"/>
              <w:rPr>
                <w:sz w:val="20"/>
                <w:szCs w:val="20"/>
                <w:color w:val="auto"/>
              </w:rPr>
            </w:pPr>
            <w:r>
              <w:rPr>
                <w:rFonts w:ascii="Arial" w:cs="Arial" w:eastAsia="Arial" w:hAnsi="Arial"/>
                <w:sz w:val="18"/>
                <w:szCs w:val="18"/>
                <w:color w:val="auto"/>
                <w:w w:val="99"/>
              </w:rPr>
              <w:t>4</w:t>
            </w: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3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53"/>
        </w:trPr>
        <w:tc>
          <w:tcPr>
            <w:tcW w:w="2300" w:type="dxa"/>
            <w:vAlign w:val="bottom"/>
            <w:gridSpan w:val="2"/>
          </w:tcPr>
          <w:p>
            <w:pPr>
              <w:spacing w:after="0"/>
              <w:rPr>
                <w:sz w:val="20"/>
                <w:szCs w:val="20"/>
                <w:color w:val="auto"/>
              </w:rPr>
            </w:pPr>
            <w:r>
              <w:rPr>
                <w:rFonts w:ascii="Arial" w:cs="Arial" w:eastAsia="Arial" w:hAnsi="Arial"/>
                <w:sz w:val="18"/>
                <w:szCs w:val="18"/>
                <w:color w:val="auto"/>
              </w:rPr>
              <w:t>Growth Opportunities</w:t>
            </w: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60" w:type="dxa"/>
            <w:vAlign w:val="bottom"/>
            <w:gridSpan w:val="2"/>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jc w:val="center"/>
              <w:ind w:left="1249"/>
              <w:spacing w:after="0" w:line="201" w:lineRule="exact"/>
              <w:rPr>
                <w:sz w:val="20"/>
                <w:szCs w:val="20"/>
                <w:color w:val="auto"/>
              </w:rPr>
            </w:pPr>
            <w:r>
              <w:rPr>
                <w:rFonts w:ascii="Arial" w:cs="Arial" w:eastAsia="Arial" w:hAnsi="Arial"/>
                <w:sz w:val="18"/>
                <w:szCs w:val="18"/>
                <w:color w:val="auto"/>
                <w:w w:val="94"/>
              </w:rPr>
              <w:t>Retailing</w:t>
            </w:r>
          </w:p>
        </w:tc>
        <w:tc>
          <w:tcPr>
            <w:tcW w:w="174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[HSN.com, America’s Store,</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Execute multi-channel strategies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Cornerstone Brands and HSE 24 logos]</w:t>
            </w:r>
          </w:p>
        </w:tc>
        <w:tc>
          <w:tcPr>
            <w:tcW w:w="3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3920" w:type="dxa"/>
            <w:vAlign w:val="bottom"/>
            <w:shd w:val="clear" w:color="auto" w:fill="CCEEFF"/>
          </w:tcPr>
          <w:p>
            <w:pPr>
              <w:ind w:left="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Invest in new technologies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60" w:type="dxa"/>
            <w:vAlign w:val="bottom"/>
            <w:gridSpan w:val="2"/>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jc w:val="center"/>
              <w:ind w:left="1229"/>
              <w:spacing w:after="0" w:line="201" w:lineRule="exact"/>
              <w:rPr>
                <w:sz w:val="20"/>
                <w:szCs w:val="20"/>
                <w:color w:val="auto"/>
              </w:rPr>
            </w:pPr>
            <w:r>
              <w:rPr>
                <w:rFonts w:ascii="Arial" w:cs="Arial" w:eastAsia="Arial" w:hAnsi="Arial"/>
                <w:sz w:val="18"/>
                <w:szCs w:val="18"/>
                <w:color w:val="auto"/>
                <w:w w:val="86"/>
              </w:rPr>
              <w:t>Services</w:t>
            </w:r>
          </w:p>
        </w:tc>
        <w:tc>
          <w:tcPr>
            <w:tcW w:w="174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[Ticketmaster, RealEstate.com,</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Aggregate demand and supply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1"/>
              </w:rPr>
              <w:t>LendingTree, PRC and ServiceMagic logos]</w:t>
            </w:r>
          </w:p>
        </w:tc>
        <w:tc>
          <w:tcPr>
            <w:tcW w:w="3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3920" w:type="dxa"/>
            <w:vAlign w:val="bottom"/>
            <w:shd w:val="clear" w:color="auto" w:fill="CCEEFF"/>
          </w:tcPr>
          <w:p>
            <w:pPr>
              <w:ind w:left="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Offer value-added services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18"/>
                <w:szCs w:val="18"/>
                <w:color w:val="auto"/>
              </w:rPr>
            </w:pPr>
          </w:p>
        </w:tc>
        <w:tc>
          <w:tcPr>
            <w:tcW w:w="3460" w:type="dxa"/>
            <w:vAlign w:val="bottom"/>
            <w:gridSpan w:val="2"/>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jc w:val="center"/>
              <w:ind w:right="319"/>
              <w:spacing w:after="0" w:line="201" w:lineRule="exact"/>
              <w:rPr>
                <w:sz w:val="20"/>
                <w:szCs w:val="20"/>
                <w:color w:val="auto"/>
              </w:rPr>
            </w:pPr>
            <w:r>
              <w:rPr>
                <w:rFonts w:ascii="Arial" w:cs="Arial" w:eastAsia="Arial" w:hAnsi="Arial"/>
                <w:sz w:val="18"/>
                <w:szCs w:val="18"/>
                <w:color w:val="auto"/>
                <w:w w:val="92"/>
              </w:rPr>
              <w:t>Membership &amp; Subscriptions</w:t>
            </w:r>
          </w:p>
        </w:tc>
        <w:tc>
          <w:tcPr>
            <w:tcW w:w="34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[Match.com, Interval International</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Cultivate loyalty &amp; deliver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and Entertaiment Publications logos]</w:t>
            </w:r>
          </w:p>
        </w:tc>
        <w:tc>
          <w:tcPr>
            <w:tcW w:w="3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3920" w:type="dxa"/>
            <w:vAlign w:val="bottom"/>
            <w:shd w:val="clear" w:color="auto" w:fill="CCEEFF"/>
          </w:tcPr>
          <w:p>
            <w:pPr>
              <w:ind w:left="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Cross-sell to member base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18"/>
                <w:szCs w:val="18"/>
                <w:color w:val="auto"/>
              </w:rPr>
            </w:pPr>
          </w:p>
        </w:tc>
        <w:tc>
          <w:tcPr>
            <w:tcW w:w="3460" w:type="dxa"/>
            <w:vAlign w:val="bottom"/>
            <w:gridSpan w:val="2"/>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shd w:val="clear" w:color="auto" w:fill="CCEEFF"/>
          </w:tcPr>
          <w:p>
            <w:pPr>
              <w:jc w:val="center"/>
              <w:ind w:right="299"/>
              <w:spacing w:after="0"/>
              <w:rPr>
                <w:sz w:val="20"/>
                <w:szCs w:val="20"/>
                <w:color w:val="auto"/>
              </w:rPr>
            </w:pPr>
            <w:r>
              <w:rPr>
                <w:rFonts w:ascii="Arial" w:cs="Arial" w:eastAsia="Arial" w:hAnsi="Arial"/>
                <w:sz w:val="18"/>
                <w:szCs w:val="18"/>
                <w:color w:val="auto"/>
                <w:w w:val="96"/>
              </w:rPr>
              <w:t>Media &amp; Advertising</w:t>
            </w:r>
          </w:p>
        </w:tc>
        <w:tc>
          <w:tcPr>
            <w:tcW w:w="3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[AskJeeves, Citysearch and Evite logos]</w:t>
            </w:r>
          </w:p>
        </w:tc>
        <w:tc>
          <w:tcPr>
            <w:tcW w:w="3920" w:type="dxa"/>
            <w:vAlign w:val="bottom"/>
            <w:shd w:val="clear" w:color="auto" w:fill="CCEEFF"/>
          </w:tcPr>
          <w:p>
            <w:pPr>
              <w:ind w:left="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Gain share; best local experience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3920" w:type="dxa"/>
            <w:vAlign w:val="bottom"/>
            <w:shd w:val="clear" w:color="auto" w:fill="CCEEFF"/>
          </w:tcPr>
          <w:p>
            <w:pPr>
              <w:ind w:left="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Develop transactional search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IAC/InterActiveCorp</w:t>
            </w: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Prepared June 7, 2005</w:t>
            </w:r>
          </w:p>
        </w:tc>
        <w:tc>
          <w:tcPr>
            <w:tcW w:w="1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40" w:type="dxa"/>
            <w:vAlign w:val="bottom"/>
          </w:tcPr>
          <w:p>
            <w:pPr>
              <w:jc w:val="center"/>
              <w:ind w:right="1650"/>
              <w:spacing w:after="0"/>
              <w:rPr>
                <w:sz w:val="20"/>
                <w:szCs w:val="20"/>
                <w:color w:val="auto"/>
              </w:rPr>
            </w:pPr>
            <w:r>
              <w:rPr>
                <w:rFonts w:ascii="Arial" w:cs="Arial" w:eastAsia="Arial" w:hAnsi="Arial"/>
                <w:sz w:val="18"/>
                <w:szCs w:val="18"/>
                <w:color w:val="auto"/>
                <w:w w:val="99"/>
              </w:rPr>
              <w:t>5</w:t>
            </w: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3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52"/>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w w:val="99"/>
              </w:rPr>
              <w:t>Retailing: Interactive—U.S.</w:t>
            </w: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20" w:type="dxa"/>
            <w:vAlign w:val="bottom"/>
          </w:tcPr>
          <w:p>
            <w:pPr>
              <w:ind w:left="1700"/>
              <w:spacing w:after="0"/>
              <w:rPr>
                <w:sz w:val="20"/>
                <w:szCs w:val="20"/>
                <w:color w:val="auto"/>
              </w:rPr>
            </w:pPr>
            <w:r>
              <w:rPr>
                <w:rFonts w:ascii="Arial" w:cs="Arial" w:eastAsia="Arial" w:hAnsi="Arial"/>
                <w:sz w:val="18"/>
                <w:szCs w:val="18"/>
                <w:b w:val="1"/>
                <w:bCs w:val="1"/>
                <w:color w:val="auto"/>
              </w:rPr>
              <w:t>[HSN.com Logo]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i w:val="1"/>
                <w:iCs w:val="1"/>
                <w:color w:val="auto"/>
              </w:rPr>
              <w:t>$ in billions for 2004</w:t>
            </w:r>
          </w:p>
        </w:tc>
        <w:tc>
          <w:tcPr>
            <w:tcW w:w="1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40" w:type="dxa"/>
            <w:vAlign w:val="bottom"/>
          </w:tcPr>
          <w:p>
            <w:pPr>
              <w:jc w:val="center"/>
              <w:ind w:right="619"/>
              <w:spacing w:after="0"/>
              <w:rPr>
                <w:sz w:val="20"/>
                <w:szCs w:val="20"/>
                <w:color w:val="auto"/>
              </w:rPr>
            </w:pPr>
            <w:r>
              <w:rPr>
                <w:rFonts w:ascii="Arial" w:cs="Arial" w:eastAsia="Arial" w:hAnsi="Arial"/>
                <w:sz w:val="18"/>
                <w:szCs w:val="18"/>
                <w:color w:val="auto"/>
                <w:w w:val="91"/>
              </w:rPr>
              <w:t>Television</w:t>
            </w:r>
          </w:p>
        </w:tc>
        <w:tc>
          <w:tcPr>
            <w:tcW w:w="1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20" w:type="dxa"/>
            <w:vAlign w:val="bottom"/>
          </w:tcPr>
          <w:p>
            <w:pPr>
              <w:jc w:val="center"/>
              <w:ind w:right="1581"/>
              <w:spacing w:after="0"/>
              <w:rPr>
                <w:sz w:val="20"/>
                <w:szCs w:val="20"/>
                <w:color w:val="auto"/>
              </w:rPr>
            </w:pPr>
            <w:r>
              <w:rPr>
                <w:rFonts w:ascii="Arial" w:cs="Arial" w:eastAsia="Arial" w:hAnsi="Arial"/>
                <w:sz w:val="18"/>
                <w:szCs w:val="18"/>
                <w:color w:val="auto"/>
                <w:w w:val="91"/>
              </w:rPr>
              <w:t>Internet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40" w:type="dxa"/>
            <w:vAlign w:val="bottom"/>
          </w:tcPr>
          <w:p>
            <w:pPr>
              <w:jc w:val="center"/>
              <w:ind w:right="619"/>
              <w:spacing w:after="0"/>
              <w:rPr>
                <w:sz w:val="20"/>
                <w:szCs w:val="20"/>
                <w:color w:val="auto"/>
              </w:rPr>
            </w:pPr>
            <w:r>
              <w:rPr>
                <w:rFonts w:ascii="Arial" w:cs="Arial" w:eastAsia="Arial" w:hAnsi="Arial"/>
                <w:sz w:val="18"/>
                <w:szCs w:val="18"/>
                <w:color w:val="auto"/>
              </w:rPr>
              <w:t>$7 Billion</w:t>
            </w:r>
          </w:p>
        </w:tc>
        <w:tc>
          <w:tcPr>
            <w:tcW w:w="1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920" w:type="dxa"/>
            <w:vAlign w:val="bottom"/>
          </w:tcPr>
          <w:p>
            <w:pPr>
              <w:jc w:val="center"/>
              <w:ind w:right="1561"/>
              <w:spacing w:after="0"/>
              <w:rPr>
                <w:sz w:val="20"/>
                <w:szCs w:val="20"/>
                <w:color w:val="auto"/>
              </w:rPr>
            </w:pPr>
            <w:r>
              <w:rPr>
                <w:rFonts w:ascii="Arial" w:cs="Arial" w:eastAsia="Arial" w:hAnsi="Arial"/>
                <w:sz w:val="18"/>
                <w:szCs w:val="18"/>
                <w:color w:val="auto"/>
                <w:w w:val="98"/>
              </w:rPr>
              <w:t>$79 Billion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740" w:type="dxa"/>
            <w:vAlign w:val="bottom"/>
          </w:tcPr>
          <w:p>
            <w:pPr>
              <w:jc w:val="center"/>
              <w:ind w:right="619"/>
              <w:spacing w:after="0"/>
              <w:rPr>
                <w:sz w:val="20"/>
                <w:szCs w:val="20"/>
                <w:color w:val="auto"/>
              </w:rPr>
            </w:pPr>
            <w:r>
              <w:rPr>
                <w:rFonts w:ascii="Arial" w:cs="Arial" w:eastAsia="Arial" w:hAnsi="Arial"/>
                <w:sz w:val="18"/>
                <w:szCs w:val="18"/>
                <w:color w:val="auto"/>
                <w:w w:val="91"/>
              </w:rPr>
              <w:t>6-10% growth</w:t>
            </w:r>
          </w:p>
        </w:tc>
        <w:tc>
          <w:tcPr>
            <w:tcW w:w="16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20" w:type="dxa"/>
            <w:vAlign w:val="bottom"/>
          </w:tcPr>
          <w:p>
            <w:pPr>
              <w:jc w:val="center"/>
              <w:ind w:right="1581"/>
              <w:spacing w:after="0"/>
              <w:rPr>
                <w:sz w:val="20"/>
                <w:szCs w:val="20"/>
                <w:color w:val="auto"/>
              </w:rPr>
            </w:pPr>
            <w:r>
              <w:rPr>
                <w:rFonts w:ascii="Arial" w:cs="Arial" w:eastAsia="Arial" w:hAnsi="Arial"/>
                <w:sz w:val="18"/>
                <w:szCs w:val="18"/>
                <w:color w:val="auto"/>
                <w:w w:val="92"/>
              </w:rPr>
              <w:t>25-30% growth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40" w:type="dxa"/>
            <w:vAlign w:val="bottom"/>
            <w:gridSpan w:val="3"/>
          </w:tcPr>
          <w:p>
            <w:pPr>
              <w:jc w:val="center"/>
              <w:spacing w:after="0"/>
              <w:rPr>
                <w:sz w:val="20"/>
                <w:szCs w:val="20"/>
                <w:color w:val="auto"/>
              </w:rPr>
            </w:pPr>
            <w:r>
              <w:rPr>
                <w:rFonts w:ascii="Arial" w:cs="Arial" w:eastAsia="Arial" w:hAnsi="Arial"/>
                <w:sz w:val="18"/>
                <w:szCs w:val="18"/>
                <w:color w:val="auto"/>
                <w:w w:val="91"/>
              </w:rPr>
              <w:t>[Pie chart showing the respective shares of the $7 billion market of the</w:t>
            </w:r>
          </w:p>
        </w:tc>
        <w:tc>
          <w:tcPr>
            <w:tcW w:w="576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[Pie chart showing the respective shares of the $79 billion market of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jc w:val="center"/>
              <w:spacing w:after="0"/>
              <w:rPr>
                <w:sz w:val="20"/>
                <w:szCs w:val="20"/>
                <w:color w:val="auto"/>
              </w:rPr>
            </w:pPr>
            <w:r>
              <w:rPr>
                <w:rFonts w:ascii="Arial" w:cs="Arial" w:eastAsia="Arial" w:hAnsi="Arial"/>
                <w:sz w:val="18"/>
                <w:szCs w:val="18"/>
                <w:color w:val="auto"/>
                <w:w w:val="95"/>
              </w:rPr>
              <w:t>following retailers: QVC ($4.0 billion), HSN ($1.9 billion), ShopNBC</w:t>
            </w:r>
          </w:p>
        </w:tc>
        <w:tc>
          <w:tcPr>
            <w:tcW w:w="576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following retailers: Other ($32.4 billion), Store chains ($16.5 billion), Pure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jc w:val="center"/>
              <w:spacing w:after="0"/>
              <w:rPr>
                <w:sz w:val="20"/>
                <w:szCs w:val="20"/>
                <w:color w:val="auto"/>
              </w:rPr>
            </w:pPr>
            <w:r>
              <w:rPr>
                <w:rFonts w:ascii="Arial" w:cs="Arial" w:eastAsia="Arial" w:hAnsi="Arial"/>
                <w:sz w:val="18"/>
                <w:szCs w:val="18"/>
                <w:color w:val="auto"/>
                <w:w w:val="94"/>
              </w:rPr>
              <w:t>($0.7 billion), Shop-At-Home ($0.3 billion) and Other ($0.3 billion)]</w:t>
            </w:r>
          </w:p>
        </w:tc>
        <w:tc>
          <w:tcPr>
            <w:tcW w:w="5760" w:type="dxa"/>
            <w:vAlign w:val="bottom"/>
            <w:gridSpan w:val="2"/>
          </w:tcPr>
          <w:p>
            <w:pPr>
              <w:jc w:val="center"/>
              <w:ind w:left="90"/>
              <w:spacing w:after="0"/>
              <w:rPr>
                <w:sz w:val="20"/>
                <w:szCs w:val="20"/>
                <w:color w:val="auto"/>
              </w:rPr>
            </w:pPr>
            <w:r>
              <w:rPr>
                <w:rFonts w:ascii="Arial" w:cs="Arial" w:eastAsia="Arial" w:hAnsi="Arial"/>
                <w:sz w:val="18"/>
                <w:szCs w:val="18"/>
                <w:color w:val="auto"/>
                <w:w w:val="93"/>
              </w:rPr>
              <w:t>Internet ($10.9 billion), Manufacturers ($9.1 billion), Catalog ($5.6 billion),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76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Other TV.com ($0.9 billion) and HSN brands ($0.5 billion)]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20" w:type="dxa"/>
            <w:vAlign w:val="bottom"/>
            <w:gridSpan w:val="2"/>
          </w:tcPr>
          <w:p>
            <w:pPr>
              <w:jc w:val="center"/>
              <w:ind w:left="1469"/>
              <w:spacing w:after="0"/>
              <w:rPr>
                <w:sz w:val="20"/>
                <w:szCs w:val="20"/>
                <w:color w:val="auto"/>
              </w:rPr>
            </w:pPr>
            <w:r>
              <w:rPr>
                <w:rFonts w:ascii="Arial" w:cs="Arial" w:eastAsia="Arial" w:hAnsi="Arial"/>
                <w:sz w:val="18"/>
                <w:szCs w:val="18"/>
                <w:color w:val="auto"/>
                <w:w w:val="89"/>
              </w:rPr>
              <w:t>HSN Share 27%</w:t>
            </w:r>
          </w:p>
        </w:tc>
        <w:tc>
          <w:tcPr>
            <w:tcW w:w="1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20" w:type="dxa"/>
            <w:vAlign w:val="bottom"/>
          </w:tcPr>
          <w:p>
            <w:pPr>
              <w:jc w:val="center"/>
              <w:ind w:right="1581"/>
              <w:spacing w:after="0"/>
              <w:rPr>
                <w:sz w:val="20"/>
                <w:szCs w:val="20"/>
                <w:color w:val="auto"/>
              </w:rPr>
            </w:pPr>
            <w:r>
              <w:rPr>
                <w:rFonts w:ascii="Arial" w:cs="Arial" w:eastAsia="Arial" w:hAnsi="Arial"/>
                <w:sz w:val="18"/>
                <w:szCs w:val="18"/>
                <w:color w:val="auto"/>
                <w:w w:val="90"/>
              </w:rPr>
              <w:t>HSN Share 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IAC/InterActiveCorp</w:t>
            </w:r>
          </w:p>
        </w:tc>
        <w:tc>
          <w:tcPr>
            <w:tcW w:w="9120" w:type="dxa"/>
            <w:vAlign w:val="bottom"/>
            <w:gridSpan w:val="4"/>
          </w:tcPr>
          <w:p>
            <w:pPr>
              <w:ind w:left="200"/>
              <w:spacing w:after="0"/>
              <w:rPr>
                <w:sz w:val="20"/>
                <w:szCs w:val="20"/>
                <w:color w:val="auto"/>
              </w:rPr>
            </w:pPr>
            <w:r>
              <w:rPr>
                <w:rFonts w:ascii="Arial" w:cs="Arial" w:eastAsia="Arial" w:hAnsi="Arial"/>
                <w:sz w:val="18"/>
                <w:szCs w:val="18"/>
                <w:i w:val="1"/>
                <w:iCs w:val="1"/>
                <w:color w:val="auto"/>
              </w:rPr>
              <w:t>TV data is estimated per SEC filings. Internet market size is per Forrester (8/04); “channel” sizes estimated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Prepared June 7, 2005</w:t>
            </w:r>
          </w:p>
        </w:tc>
        <w:tc>
          <w:tcPr>
            <w:tcW w:w="5200" w:type="dxa"/>
            <w:vAlign w:val="bottom"/>
            <w:gridSpan w:val="3"/>
          </w:tcPr>
          <w:p>
            <w:pPr>
              <w:ind w:left="200"/>
              <w:spacing w:after="0"/>
              <w:rPr>
                <w:sz w:val="20"/>
                <w:szCs w:val="20"/>
                <w:color w:val="auto"/>
              </w:rPr>
            </w:pPr>
            <w:r>
              <w:rPr>
                <w:rFonts w:ascii="Arial" w:cs="Arial" w:eastAsia="Arial" w:hAnsi="Arial"/>
                <w:sz w:val="18"/>
                <w:szCs w:val="18"/>
                <w:i w:val="1"/>
                <w:iCs w:val="1"/>
                <w:color w:val="auto"/>
              </w:rPr>
              <w:t>management based on 2003 data per The Internet Retailer.</w:t>
            </w:r>
          </w:p>
        </w:tc>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40" w:type="dxa"/>
            <w:vAlign w:val="bottom"/>
          </w:tcPr>
          <w:p>
            <w:pPr>
              <w:jc w:val="center"/>
              <w:ind w:right="1650"/>
              <w:spacing w:after="0"/>
              <w:rPr>
                <w:sz w:val="20"/>
                <w:szCs w:val="20"/>
                <w:color w:val="auto"/>
              </w:rPr>
            </w:pPr>
            <w:r>
              <w:rPr>
                <w:rFonts w:ascii="Arial" w:cs="Arial" w:eastAsia="Arial" w:hAnsi="Arial"/>
                <w:sz w:val="18"/>
                <w:szCs w:val="18"/>
                <w:color w:val="auto"/>
                <w:w w:val="99"/>
              </w:rPr>
              <w:t>6</w:t>
            </w: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20" w:type="dxa"/>
            <w:vAlign w:val="bottom"/>
            <w:tcBorders>
              <w:bottom w:val="single" w:sz="8" w:color="808080"/>
            </w:tcBorders>
            <w:gridSpan w:val="2"/>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1840" w:type="dxa"/>
            <w:vAlign w:val="bottom"/>
            <w:tcBorders>
              <w:bottom w:val="single" w:sz="8" w:color="808080"/>
            </w:tcBorders>
          </w:tcPr>
          <w:p>
            <w:pPr>
              <w:spacing w:after="0"/>
              <w:rPr>
                <w:sz w:val="7"/>
                <w:szCs w:val="7"/>
                <w:color w:val="auto"/>
              </w:rPr>
            </w:pPr>
          </w:p>
        </w:tc>
        <w:tc>
          <w:tcPr>
            <w:tcW w:w="39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67"/>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Retailing: Cross-Channel Strategies</w:t>
            </w:r>
          </w:p>
        </w:tc>
        <w:tc>
          <w:tcPr>
            <w:tcW w:w="1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280" w:type="dxa"/>
            <w:vAlign w:val="bottom"/>
          </w:tcPr>
          <w:p>
            <w:pPr>
              <w:ind w:left="560"/>
              <w:spacing w:after="0"/>
              <w:rPr>
                <w:sz w:val="20"/>
                <w:szCs w:val="20"/>
                <w:color w:val="auto"/>
              </w:rPr>
            </w:pPr>
            <w:r>
              <w:rPr>
                <w:rFonts w:ascii="Arial" w:cs="Arial" w:eastAsia="Arial" w:hAnsi="Arial"/>
                <w:sz w:val="18"/>
                <w:szCs w:val="18"/>
                <w:b w:val="1"/>
                <w:bCs w:val="1"/>
                <w:color w:val="auto"/>
              </w:rPr>
              <w:t xml:space="preserve">TV Only </w:t>
            </w:r>
            <w:r>
              <w:rPr>
                <w:rFonts w:ascii="Arial" w:cs="Arial" w:eastAsia="Arial" w:hAnsi="Arial"/>
                <w:sz w:val="18"/>
                <w:szCs w:val="18"/>
                <w:color w:val="auto"/>
              </w:rPr>
              <w:t>Customers</w:t>
            </w:r>
          </w:p>
        </w:tc>
        <w:tc>
          <w:tcPr>
            <w:tcW w:w="1740" w:type="dxa"/>
            <w:vAlign w:val="bottom"/>
          </w:tcPr>
          <w:p>
            <w:pPr>
              <w:spacing w:after="0"/>
              <w:rPr>
                <w:sz w:val="24"/>
                <w:szCs w:val="24"/>
                <w:color w:val="auto"/>
              </w:rPr>
            </w:pPr>
          </w:p>
        </w:tc>
        <w:tc>
          <w:tcPr>
            <w:tcW w:w="3460" w:type="dxa"/>
            <w:vAlign w:val="bottom"/>
            <w:gridSpan w:val="2"/>
          </w:tcPr>
          <w:p>
            <w:pPr>
              <w:ind w:left="900"/>
              <w:spacing w:after="0"/>
              <w:rPr>
                <w:sz w:val="20"/>
                <w:szCs w:val="20"/>
                <w:color w:val="auto"/>
              </w:rPr>
            </w:pPr>
            <w:r>
              <w:rPr>
                <w:rFonts w:ascii="Arial" w:cs="Arial" w:eastAsia="Arial" w:hAnsi="Arial"/>
                <w:sz w:val="18"/>
                <w:szCs w:val="18"/>
                <w:b w:val="1"/>
                <w:bCs w:val="1"/>
                <w:color w:val="auto"/>
              </w:rPr>
              <w:t xml:space="preserve">Multi Channel </w:t>
            </w:r>
            <w:r>
              <w:rPr>
                <w:rFonts w:ascii="Arial" w:cs="Arial" w:eastAsia="Arial" w:hAnsi="Arial"/>
                <w:sz w:val="18"/>
                <w:szCs w:val="18"/>
                <w:color w:val="auto"/>
              </w:rPr>
              <w:t>Customers</w:t>
            </w:r>
          </w:p>
        </w:tc>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 xml:space="preserve">Web Only </w:t>
            </w:r>
            <w:r>
              <w:rPr>
                <w:rFonts w:ascii="Arial" w:cs="Arial" w:eastAsia="Arial" w:hAnsi="Arial"/>
                <w:sz w:val="18"/>
                <w:szCs w:val="18"/>
                <w:color w:val="auto"/>
              </w:rPr>
              <w:t>Customers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ind w:left="920"/>
              <w:spacing w:after="0"/>
              <w:rPr>
                <w:sz w:val="20"/>
                <w:szCs w:val="20"/>
                <w:color w:val="auto"/>
              </w:rPr>
            </w:pPr>
            <w:r>
              <w:rPr>
                <w:rFonts w:ascii="Arial" w:cs="Arial" w:eastAsia="Arial" w:hAnsi="Arial"/>
                <w:sz w:val="18"/>
                <w:szCs w:val="18"/>
                <w:color w:val="auto"/>
              </w:rPr>
              <w:t>~$300/yr à</w:t>
            </w:r>
          </w:p>
        </w:tc>
        <w:tc>
          <w:tcPr>
            <w:tcW w:w="1740" w:type="dxa"/>
            <w:vAlign w:val="bottom"/>
          </w:tcPr>
          <w:p>
            <w:pPr>
              <w:spacing w:after="0"/>
              <w:rPr>
                <w:sz w:val="18"/>
                <w:szCs w:val="18"/>
                <w:color w:val="auto"/>
              </w:rPr>
            </w:pPr>
          </w:p>
        </w:tc>
        <w:tc>
          <w:tcPr>
            <w:tcW w:w="3460" w:type="dxa"/>
            <w:vAlign w:val="bottom"/>
            <w:gridSpan w:val="2"/>
          </w:tcPr>
          <w:p>
            <w:pPr>
              <w:ind w:left="1540"/>
              <w:spacing w:after="0"/>
              <w:rPr>
                <w:sz w:val="20"/>
                <w:szCs w:val="20"/>
                <w:color w:val="auto"/>
              </w:rPr>
            </w:pPr>
            <w:r>
              <w:rPr>
                <w:rFonts w:ascii="Arial" w:cs="Arial" w:eastAsia="Arial" w:hAnsi="Arial"/>
                <w:sz w:val="18"/>
                <w:szCs w:val="18"/>
                <w:color w:val="auto"/>
              </w:rPr>
              <w:t>~$900/yr</w:t>
            </w:r>
          </w:p>
        </w:tc>
        <w:tc>
          <w:tcPr>
            <w:tcW w:w="3920" w:type="dxa"/>
            <w:vAlign w:val="bottom"/>
          </w:tcPr>
          <w:p>
            <w:pPr>
              <w:ind w:left="540"/>
              <w:spacing w:after="0"/>
              <w:rPr>
                <w:sz w:val="20"/>
                <w:szCs w:val="20"/>
                <w:color w:val="auto"/>
              </w:rPr>
            </w:pPr>
            <w:r>
              <w:rPr>
                <w:rFonts w:ascii="Arial" w:cs="Arial" w:eastAsia="Arial" w:hAnsi="Arial"/>
                <w:sz w:val="18"/>
                <w:szCs w:val="18"/>
                <w:color w:val="auto"/>
              </w:rPr>
              <w:t>ß ~$190/yr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5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Cross promotion to web</w:t>
            </w:r>
          </w:p>
        </w:tc>
        <w:tc>
          <w:tcPr>
            <w:tcW w:w="16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920" w:type="dxa"/>
            <w:vAlign w:val="bottom"/>
          </w:tcPr>
          <w:p>
            <w:pPr>
              <w:ind w:left="1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Previews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-7813675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-7813675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-4237990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-4237990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0" w:right="219" w:bottom="0" w:gutter="0" w:footer="0" w:header="0"/>
        </w:sectPr>
      </w:pPr>
    </w:p>
    <w:bookmarkStart w:id="4" w:name="page5"/>
    <w:bookmarkEnd w:id="4"/>
    <w:tbl>
      <w:tblPr>
        <w:tblLayout w:type="fixed"/>
        <w:tblInd w:w="580" w:type="dxa"/>
        <w:tblCellMar>
          <w:top w:w="0" w:type="dxa"/>
          <w:left w:w="0" w:type="dxa"/>
          <w:bottom w:w="0" w:type="dxa"/>
          <w:right w:w="0" w:type="dxa"/>
        </w:tblCellMar>
      </w:tblPr>
      <w:tr>
        <w:trPr>
          <w:trHeight w:val="302"/>
        </w:trPr>
        <w:tc>
          <w:tcPr>
            <w:tcW w:w="140" w:type="dxa"/>
            <w:vAlign w:val="bottom"/>
          </w:tcPr>
          <w:p>
            <w:pPr>
              <w:spacing w:after="0"/>
              <w:rPr>
                <w:sz w:val="20"/>
                <w:szCs w:val="20"/>
                <w:color w:val="auto"/>
              </w:rPr>
            </w:pPr>
            <w:r>
              <w:rPr>
                <w:rFonts w:ascii="Arial" w:cs="Arial" w:eastAsia="Arial" w:hAnsi="Arial"/>
                <w:sz w:val="22"/>
                <w:szCs w:val="22"/>
                <w:color w:val="auto"/>
              </w:rPr>
              <w:t>•</w:t>
            </w:r>
          </w:p>
        </w:tc>
        <w:tc>
          <w:tcPr>
            <w:tcW w:w="4540" w:type="dxa"/>
            <w:vAlign w:val="bottom"/>
          </w:tcPr>
          <w:p>
            <w:pPr>
              <w:ind w:left="40"/>
              <w:spacing w:after="0"/>
              <w:rPr>
                <w:sz w:val="20"/>
                <w:szCs w:val="20"/>
                <w:color w:val="auto"/>
              </w:rPr>
            </w:pPr>
            <w:r>
              <w:rPr>
                <w:rFonts w:ascii="Arial" w:cs="Arial" w:eastAsia="Arial" w:hAnsi="Arial"/>
                <w:sz w:val="18"/>
                <w:szCs w:val="18"/>
                <w:color w:val="auto"/>
              </w:rPr>
              <w:t>Increase non-linear spending</w:t>
            </w:r>
          </w:p>
        </w:tc>
        <w:tc>
          <w:tcPr>
            <w:tcW w:w="2560" w:type="dxa"/>
            <w:vAlign w:val="bottom"/>
          </w:tcPr>
          <w:p>
            <w:pPr>
              <w:ind w:left="2420"/>
              <w:spacing w:after="0"/>
              <w:rPr>
                <w:sz w:val="20"/>
                <w:szCs w:val="20"/>
                <w:color w:val="auto"/>
              </w:rPr>
            </w:pPr>
            <w:r>
              <w:rPr>
                <w:rFonts w:ascii="Arial" w:cs="Arial" w:eastAsia="Arial" w:hAnsi="Arial"/>
                <w:sz w:val="22"/>
                <w:szCs w:val="22"/>
                <w:color w:val="auto"/>
              </w:rPr>
              <w:t>•</w:t>
            </w:r>
          </w:p>
        </w:tc>
        <w:tc>
          <w:tcPr>
            <w:tcW w:w="3020" w:type="dxa"/>
            <w:vAlign w:val="bottom"/>
          </w:tcPr>
          <w:p>
            <w:pPr>
              <w:ind w:left="40"/>
              <w:spacing w:after="0"/>
              <w:rPr>
                <w:sz w:val="20"/>
                <w:szCs w:val="20"/>
                <w:color w:val="auto"/>
              </w:rPr>
            </w:pPr>
            <w:r>
              <w:rPr>
                <w:rFonts w:ascii="Arial" w:cs="Arial" w:eastAsia="Arial" w:hAnsi="Arial"/>
                <w:sz w:val="18"/>
                <w:szCs w:val="18"/>
                <w:color w:val="auto"/>
              </w:rPr>
              <w:t>Recaps/show reviews</w:t>
            </w:r>
          </w:p>
        </w:tc>
      </w:tr>
      <w:tr>
        <w:trPr>
          <w:trHeight w:val="435"/>
        </w:trPr>
        <w:tc>
          <w:tcPr>
            <w:tcW w:w="140" w:type="dxa"/>
            <w:vAlign w:val="bottom"/>
          </w:tcPr>
          <w:p>
            <w:pPr>
              <w:spacing w:after="0"/>
              <w:rPr>
                <w:sz w:val="20"/>
                <w:szCs w:val="20"/>
                <w:color w:val="auto"/>
              </w:rPr>
            </w:pPr>
            <w:r>
              <w:rPr>
                <w:rFonts w:ascii="Arial" w:cs="Arial" w:eastAsia="Arial" w:hAnsi="Arial"/>
                <w:sz w:val="22"/>
                <w:szCs w:val="22"/>
                <w:color w:val="auto"/>
              </w:rPr>
              <w:t>•</w:t>
            </w:r>
          </w:p>
        </w:tc>
        <w:tc>
          <w:tcPr>
            <w:tcW w:w="4540" w:type="dxa"/>
            <w:vAlign w:val="bottom"/>
          </w:tcPr>
          <w:p>
            <w:pPr>
              <w:ind w:left="40"/>
              <w:spacing w:after="0"/>
              <w:rPr>
                <w:sz w:val="20"/>
                <w:szCs w:val="20"/>
                <w:color w:val="auto"/>
              </w:rPr>
            </w:pPr>
            <w:r>
              <w:rPr>
                <w:rFonts w:ascii="Arial" w:cs="Arial" w:eastAsia="Arial" w:hAnsi="Arial"/>
                <w:sz w:val="18"/>
                <w:szCs w:val="18"/>
                <w:color w:val="auto"/>
              </w:rPr>
              <w:t>Higher product velocity</w:t>
            </w:r>
          </w:p>
        </w:tc>
        <w:tc>
          <w:tcPr>
            <w:tcW w:w="2560" w:type="dxa"/>
            <w:vAlign w:val="bottom"/>
          </w:tcPr>
          <w:p>
            <w:pPr>
              <w:ind w:left="2420"/>
              <w:spacing w:after="0"/>
              <w:rPr>
                <w:sz w:val="20"/>
                <w:szCs w:val="20"/>
                <w:color w:val="auto"/>
              </w:rPr>
            </w:pPr>
            <w:r>
              <w:rPr>
                <w:rFonts w:ascii="Arial" w:cs="Arial" w:eastAsia="Arial" w:hAnsi="Arial"/>
                <w:sz w:val="22"/>
                <w:szCs w:val="22"/>
                <w:color w:val="auto"/>
              </w:rPr>
              <w:t>•</w:t>
            </w:r>
          </w:p>
        </w:tc>
        <w:tc>
          <w:tcPr>
            <w:tcW w:w="3020" w:type="dxa"/>
            <w:vAlign w:val="bottom"/>
          </w:tcPr>
          <w:p>
            <w:pPr>
              <w:ind w:left="40"/>
              <w:spacing w:after="0"/>
              <w:rPr>
                <w:sz w:val="20"/>
                <w:szCs w:val="20"/>
                <w:color w:val="auto"/>
              </w:rPr>
            </w:pPr>
            <w:r>
              <w:rPr>
                <w:rFonts w:ascii="Arial" w:cs="Arial" w:eastAsia="Arial" w:hAnsi="Arial"/>
                <w:sz w:val="18"/>
                <w:szCs w:val="18"/>
                <w:color w:val="auto"/>
                <w:w w:val="89"/>
              </w:rPr>
              <w:t>Tune in messaging on site and through e-</w:t>
            </w:r>
          </w:p>
        </w:tc>
      </w:tr>
      <w:tr>
        <w:trPr>
          <w:trHeight w:val="200"/>
        </w:trPr>
        <w:tc>
          <w:tcPr>
            <w:tcW w:w="1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020" w:type="dxa"/>
            <w:vAlign w:val="bottom"/>
          </w:tcPr>
          <w:p>
            <w:pPr>
              <w:ind w:left="60"/>
              <w:spacing w:after="0" w:line="200" w:lineRule="exact"/>
              <w:rPr>
                <w:sz w:val="20"/>
                <w:szCs w:val="20"/>
                <w:color w:val="auto"/>
              </w:rPr>
            </w:pPr>
            <w:r>
              <w:rPr>
                <w:rFonts w:ascii="Arial" w:cs="Arial" w:eastAsia="Arial" w:hAnsi="Arial"/>
                <w:sz w:val="18"/>
                <w:szCs w:val="18"/>
                <w:color w:val="auto"/>
              </w:rPr>
              <w:t>mail</w:t>
            </w:r>
          </w:p>
        </w:tc>
      </w:tr>
    </w:tbl>
    <w:p>
      <w:pPr>
        <w:ind w:left="760" w:hanging="178"/>
        <w:spacing w:after="0" w:line="233" w:lineRule="auto"/>
        <w:tabs>
          <w:tab w:leader="none" w:pos="760" w:val="left"/>
        </w:tabs>
        <w:numPr>
          <w:ilvl w:val="0"/>
          <w:numId w:val="2"/>
        </w:numPr>
        <w:rPr>
          <w:rFonts w:ascii="Arial" w:cs="Arial" w:eastAsia="Arial" w:hAnsi="Arial"/>
          <w:sz w:val="22"/>
          <w:szCs w:val="22"/>
          <w:color w:val="auto"/>
        </w:rPr>
      </w:pPr>
      <w:r>
        <w:rPr>
          <w:rFonts w:ascii="Arial" w:cs="Arial" w:eastAsia="Arial" w:hAnsi="Arial"/>
          <w:sz w:val="18"/>
          <w:szCs w:val="18"/>
          <w:color w:val="auto"/>
        </w:rPr>
        <w:t>Verbal, pictorial and graphic tools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IAC/InterActiveCorp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Prepared June 7, 2005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820" w:type="dxa"/>
            <w:vAlign w:val="bottom"/>
          </w:tcPr>
          <w:p>
            <w:pPr>
              <w:jc w:val="right"/>
              <w:ind w:right="5590"/>
              <w:spacing w:after="0"/>
              <w:rPr>
                <w:sz w:val="20"/>
                <w:szCs w:val="20"/>
                <w:color w:val="auto"/>
              </w:rPr>
            </w:pPr>
            <w:r>
              <w:rPr>
                <w:rFonts w:ascii="Arial" w:cs="Arial" w:eastAsia="Arial" w:hAnsi="Arial"/>
                <w:sz w:val="18"/>
                <w:szCs w:val="18"/>
                <w:color w:val="auto"/>
              </w:rPr>
              <w:t>7</w:t>
            </w:r>
          </w:p>
        </w:tc>
      </w:tr>
      <w:tr>
        <w:trPr>
          <w:trHeight w:val="105"/>
        </w:trPr>
        <w:tc>
          <w:tcPr>
            <w:tcW w:w="250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5820" w:type="dxa"/>
            <w:vAlign w:val="bottom"/>
            <w:tcBorders>
              <w:bottom w:val="single" w:sz="8" w:color="808080"/>
            </w:tcBorders>
          </w:tcPr>
          <w:p>
            <w:pPr>
              <w:spacing w:after="0"/>
              <w:rPr>
                <w:sz w:val="9"/>
                <w:szCs w:val="9"/>
                <w:color w:val="auto"/>
              </w:rPr>
            </w:pPr>
          </w:p>
        </w:tc>
      </w:tr>
      <w:tr>
        <w:trPr>
          <w:trHeight w:val="753"/>
        </w:trPr>
        <w:tc>
          <w:tcPr>
            <w:tcW w:w="2500" w:type="dxa"/>
            <w:vAlign w:val="bottom"/>
          </w:tcPr>
          <w:p>
            <w:pPr>
              <w:spacing w:after="0"/>
              <w:rPr>
                <w:sz w:val="20"/>
                <w:szCs w:val="20"/>
                <w:color w:val="auto"/>
              </w:rPr>
            </w:pPr>
            <w:r>
              <w:rPr>
                <w:rFonts w:ascii="Arial" w:cs="Arial" w:eastAsia="Arial" w:hAnsi="Arial"/>
                <w:sz w:val="18"/>
                <w:szCs w:val="18"/>
                <w:b w:val="1"/>
                <w:bCs w:val="1"/>
                <w:color w:val="auto"/>
                <w:w w:val="90"/>
              </w:rPr>
              <w:t>Services: Mortgage Opportunity</w:t>
            </w:r>
          </w:p>
        </w:tc>
        <w:tc>
          <w:tcPr>
            <w:tcW w:w="3120" w:type="dxa"/>
            <w:vAlign w:val="bottom"/>
          </w:tcPr>
          <w:p>
            <w:pPr>
              <w:spacing w:after="0"/>
              <w:rPr>
                <w:sz w:val="24"/>
                <w:szCs w:val="24"/>
                <w:color w:val="auto"/>
              </w:rPr>
            </w:pPr>
          </w:p>
        </w:tc>
        <w:tc>
          <w:tcPr>
            <w:tcW w:w="5820" w:type="dxa"/>
            <w:vAlign w:val="bottom"/>
          </w:tcPr>
          <w:p>
            <w:pPr>
              <w:jc w:val="right"/>
              <w:ind w:right="810"/>
              <w:spacing w:after="0"/>
              <w:rPr>
                <w:sz w:val="20"/>
                <w:szCs w:val="20"/>
                <w:color w:val="auto"/>
              </w:rPr>
            </w:pPr>
            <w:r>
              <w:rPr>
                <w:rFonts w:ascii="Arial" w:cs="Arial" w:eastAsia="Arial" w:hAnsi="Arial"/>
                <w:sz w:val="18"/>
                <w:szCs w:val="18"/>
                <w:b w:val="1"/>
                <w:bCs w:val="1"/>
                <w:color w:val="auto"/>
              </w:rPr>
              <w:t>[LendingTree Logo]</w:t>
            </w:r>
          </w:p>
        </w:tc>
      </w:tr>
      <w:tr>
        <w:trPr>
          <w:trHeight w:val="634"/>
        </w:trPr>
        <w:tc>
          <w:tcPr>
            <w:tcW w:w="5620" w:type="dxa"/>
            <w:vAlign w:val="bottom"/>
            <w:gridSpan w:val="2"/>
          </w:tcPr>
          <w:p>
            <w:pPr>
              <w:jc w:val="center"/>
              <w:spacing w:after="0"/>
              <w:rPr>
                <w:sz w:val="20"/>
                <w:szCs w:val="20"/>
                <w:color w:val="auto"/>
              </w:rPr>
            </w:pPr>
            <w:r>
              <w:rPr>
                <w:rFonts w:ascii="Arial" w:cs="Arial" w:eastAsia="Arial" w:hAnsi="Arial"/>
                <w:sz w:val="18"/>
                <w:szCs w:val="18"/>
                <w:color w:val="auto"/>
                <w:w w:val="90"/>
              </w:rPr>
              <w:t>[Pie chart showing the respective shares of ~50,000 institutions (and certain</w:t>
            </w:r>
          </w:p>
        </w:tc>
        <w:tc>
          <w:tcPr>
            <w:tcW w:w="5820" w:type="dxa"/>
            <w:vAlign w:val="bottom"/>
          </w:tcPr>
          <w:p>
            <w:pPr>
              <w:jc w:val="center"/>
              <w:ind w:left="90"/>
              <w:spacing w:after="0"/>
              <w:rPr>
                <w:sz w:val="20"/>
                <w:szCs w:val="20"/>
                <w:color w:val="auto"/>
              </w:rPr>
            </w:pPr>
            <w:r>
              <w:rPr>
                <w:rFonts w:ascii="Arial" w:cs="Arial" w:eastAsia="Arial" w:hAnsi="Arial"/>
                <w:sz w:val="18"/>
                <w:szCs w:val="18"/>
                <w:color w:val="auto"/>
                <w:w w:val="91"/>
              </w:rPr>
              <w:t>[Line graph showing the approximate growth in LendingTree’s percentage</w:t>
            </w:r>
          </w:p>
        </w:tc>
      </w:tr>
      <w:tr>
        <w:trPr>
          <w:trHeight w:val="216"/>
        </w:trPr>
        <w:tc>
          <w:tcPr>
            <w:tcW w:w="5620" w:type="dxa"/>
            <w:vAlign w:val="bottom"/>
            <w:gridSpan w:val="2"/>
          </w:tcPr>
          <w:p>
            <w:pPr>
              <w:jc w:val="center"/>
              <w:spacing w:after="0"/>
              <w:rPr>
                <w:sz w:val="20"/>
                <w:szCs w:val="20"/>
                <w:color w:val="auto"/>
              </w:rPr>
            </w:pPr>
            <w:r>
              <w:rPr>
                <w:rFonts w:ascii="Arial" w:cs="Arial" w:eastAsia="Arial" w:hAnsi="Arial"/>
                <w:sz w:val="18"/>
                <w:szCs w:val="18"/>
                <w:color w:val="auto"/>
                <w:w w:val="91"/>
              </w:rPr>
              <w:t>subgroups thereof) in the $2.6 trillion (2004) fragmented origination market:</w:t>
            </w:r>
          </w:p>
        </w:tc>
        <w:tc>
          <w:tcPr>
            <w:tcW w:w="5820" w:type="dxa"/>
            <w:vAlign w:val="bottom"/>
          </w:tcPr>
          <w:p>
            <w:pPr>
              <w:jc w:val="center"/>
              <w:ind w:left="90"/>
              <w:spacing w:after="0"/>
              <w:rPr>
                <w:sz w:val="20"/>
                <w:szCs w:val="20"/>
                <w:color w:val="auto"/>
              </w:rPr>
            </w:pPr>
            <w:r>
              <w:rPr>
                <w:rFonts w:ascii="Arial" w:cs="Arial" w:eastAsia="Arial" w:hAnsi="Arial"/>
                <w:sz w:val="18"/>
                <w:szCs w:val="18"/>
                <w:color w:val="auto"/>
                <w:w w:val="91"/>
              </w:rPr>
              <w:t>share of the fragmented origination market from 1999 to 2004 (disclosing an</w:t>
            </w:r>
          </w:p>
        </w:tc>
      </w:tr>
      <w:tr>
        <w:trPr>
          <w:trHeight w:val="216"/>
        </w:trPr>
        <w:tc>
          <w:tcPr>
            <w:tcW w:w="5620" w:type="dxa"/>
            <w:vAlign w:val="bottom"/>
            <w:gridSpan w:val="2"/>
          </w:tcPr>
          <w:p>
            <w:pPr>
              <w:jc w:val="center"/>
              <w:spacing w:after="0"/>
              <w:rPr>
                <w:sz w:val="20"/>
                <w:szCs w:val="20"/>
                <w:color w:val="auto"/>
              </w:rPr>
            </w:pPr>
            <w:r>
              <w:rPr>
                <w:rFonts w:ascii="Arial" w:cs="Arial" w:eastAsia="Arial" w:hAnsi="Arial"/>
                <w:sz w:val="18"/>
                <w:szCs w:val="18"/>
                <w:color w:val="auto"/>
                <w:w w:val="92"/>
              </w:rPr>
              <w:t>LendingTree ($21.2 billion), Top 15 Retail Producers ($901 billion (31%)),</w:t>
            </w:r>
          </w:p>
        </w:tc>
        <w:tc>
          <w:tcPr>
            <w:tcW w:w="5820" w:type="dxa"/>
            <w:vAlign w:val="bottom"/>
          </w:tcPr>
          <w:p>
            <w:pPr>
              <w:jc w:val="center"/>
              <w:ind w:left="110"/>
              <w:spacing w:after="0"/>
              <w:rPr>
                <w:sz w:val="20"/>
                <w:szCs w:val="20"/>
                <w:color w:val="auto"/>
              </w:rPr>
            </w:pPr>
            <w:r>
              <w:rPr>
                <w:rFonts w:ascii="Arial" w:cs="Arial" w:eastAsia="Arial" w:hAnsi="Arial"/>
                <w:sz w:val="18"/>
                <w:szCs w:val="18"/>
                <w:color w:val="auto"/>
                <w:w w:val="91"/>
              </w:rPr>
              <w:t>approximate 0.8% share in 2004)]</w:t>
            </w:r>
          </w:p>
        </w:tc>
      </w:tr>
      <w:tr>
        <w:trPr>
          <w:trHeight w:val="216"/>
        </w:trPr>
        <w:tc>
          <w:tcPr>
            <w:tcW w:w="5620" w:type="dxa"/>
            <w:vAlign w:val="bottom"/>
            <w:gridSpan w:val="2"/>
          </w:tcPr>
          <w:p>
            <w:pPr>
              <w:jc w:val="center"/>
              <w:spacing w:after="0"/>
              <w:rPr>
                <w:sz w:val="20"/>
                <w:szCs w:val="20"/>
                <w:color w:val="auto"/>
              </w:rPr>
            </w:pPr>
            <w:r>
              <w:rPr>
                <w:rFonts w:ascii="Arial" w:cs="Arial" w:eastAsia="Arial" w:hAnsi="Arial"/>
                <w:sz w:val="18"/>
                <w:szCs w:val="18"/>
                <w:color w:val="auto"/>
                <w:w w:val="92"/>
              </w:rPr>
              <w:t>10,000 Small/Medium Lenders ($281 billion (10%)) and 40,000 Mortgage</w:t>
            </w:r>
          </w:p>
        </w:tc>
        <w:tc>
          <w:tcPr>
            <w:tcW w:w="5820" w:type="dxa"/>
            <w:vAlign w:val="bottom"/>
          </w:tcPr>
          <w:p>
            <w:pPr>
              <w:spacing w:after="0"/>
              <w:rPr>
                <w:sz w:val="18"/>
                <w:szCs w:val="18"/>
                <w:color w:val="auto"/>
              </w:rPr>
            </w:pPr>
          </w:p>
        </w:tc>
      </w:tr>
      <w:tr>
        <w:trPr>
          <w:trHeight w:val="230"/>
        </w:trPr>
        <w:tc>
          <w:tcPr>
            <w:tcW w:w="5620" w:type="dxa"/>
            <w:vAlign w:val="bottom"/>
            <w:gridSpan w:val="2"/>
          </w:tcPr>
          <w:p>
            <w:pPr>
              <w:jc w:val="center"/>
              <w:spacing w:after="0"/>
              <w:rPr>
                <w:sz w:val="20"/>
                <w:szCs w:val="20"/>
                <w:color w:val="auto"/>
              </w:rPr>
            </w:pPr>
            <w:r>
              <w:rPr>
                <w:rFonts w:ascii="Arial" w:cs="Arial" w:eastAsia="Arial" w:hAnsi="Arial"/>
                <w:sz w:val="18"/>
                <w:szCs w:val="18"/>
                <w:color w:val="auto"/>
                <w:w w:val="92"/>
              </w:rPr>
              <w:t>Brokers/Correspondents ($1,670 billion (59%))]</w:t>
            </w:r>
          </w:p>
        </w:tc>
        <w:tc>
          <w:tcPr>
            <w:tcW w:w="5820" w:type="dxa"/>
            <w:vAlign w:val="bottom"/>
          </w:tcPr>
          <w:p>
            <w:pPr>
              <w:spacing w:after="0"/>
              <w:rPr>
                <w:sz w:val="20"/>
                <w:szCs w:val="20"/>
                <w:color w:val="auto"/>
              </w:rPr>
            </w:pPr>
          </w:p>
        </w:tc>
      </w:tr>
      <w:tr>
        <w:trPr>
          <w:trHeight w:val="634"/>
        </w:trPr>
        <w:tc>
          <w:tcPr>
            <w:tcW w:w="2500" w:type="dxa"/>
            <w:vAlign w:val="bottom"/>
          </w:tcPr>
          <w:p>
            <w:pPr>
              <w:spacing w:after="0"/>
              <w:rPr>
                <w:sz w:val="20"/>
                <w:szCs w:val="20"/>
                <w:color w:val="auto"/>
              </w:rPr>
            </w:pPr>
            <w:r>
              <w:rPr>
                <w:rFonts w:ascii="Arial" w:cs="Arial" w:eastAsia="Arial" w:hAnsi="Arial"/>
                <w:sz w:val="18"/>
                <w:szCs w:val="18"/>
                <w:b w:val="1"/>
                <w:bCs w:val="1"/>
                <w:color w:val="auto"/>
              </w:rPr>
              <w:t>IAC/InterActiveCorp</w:t>
            </w:r>
          </w:p>
        </w:tc>
        <w:tc>
          <w:tcPr>
            <w:tcW w:w="8940" w:type="dxa"/>
            <w:vAlign w:val="bottom"/>
            <w:gridSpan w:val="2"/>
          </w:tcPr>
          <w:p>
            <w:pPr>
              <w:jc w:val="right"/>
              <w:ind w:right="3230"/>
              <w:spacing w:after="0"/>
              <w:rPr>
                <w:sz w:val="20"/>
                <w:szCs w:val="20"/>
                <w:color w:val="auto"/>
              </w:rPr>
            </w:pPr>
            <w:r>
              <w:rPr>
                <w:rFonts w:ascii="Arial" w:cs="Arial" w:eastAsia="Arial" w:hAnsi="Arial"/>
                <w:sz w:val="18"/>
                <w:szCs w:val="18"/>
                <w:i w:val="1"/>
                <w:iCs w:val="1"/>
                <w:color w:val="auto"/>
                <w:w w:val="91"/>
              </w:rPr>
              <w:t>Source: Inside Mortgage Finance (February 18, 2005), MBAA (June 6, 2005)</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Prepared June 7, 2005</w:t>
            </w:r>
          </w:p>
        </w:tc>
        <w:tc>
          <w:tcPr>
            <w:tcW w:w="3120" w:type="dxa"/>
            <w:vAlign w:val="bottom"/>
          </w:tcPr>
          <w:p>
            <w:pPr>
              <w:spacing w:after="0"/>
              <w:rPr>
                <w:sz w:val="20"/>
                <w:szCs w:val="20"/>
                <w:color w:val="auto"/>
              </w:rPr>
            </w:pPr>
          </w:p>
        </w:tc>
        <w:tc>
          <w:tcPr>
            <w:tcW w:w="5820" w:type="dxa"/>
            <w:vAlign w:val="bottom"/>
          </w:tcPr>
          <w:p>
            <w:pPr>
              <w:spacing w:after="0"/>
              <w:rPr>
                <w:sz w:val="20"/>
                <w:szCs w:val="20"/>
                <w:color w:val="auto"/>
              </w:rPr>
            </w:pPr>
          </w:p>
        </w:tc>
      </w:tr>
      <w:tr>
        <w:trPr>
          <w:trHeight w:val="432"/>
        </w:trPr>
        <w:tc>
          <w:tcPr>
            <w:tcW w:w="25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820" w:type="dxa"/>
            <w:vAlign w:val="bottom"/>
          </w:tcPr>
          <w:p>
            <w:pPr>
              <w:jc w:val="right"/>
              <w:ind w:right="5590"/>
              <w:spacing w:after="0"/>
              <w:rPr>
                <w:sz w:val="20"/>
                <w:szCs w:val="20"/>
                <w:color w:val="auto"/>
              </w:rPr>
            </w:pPr>
            <w:r>
              <w:rPr>
                <w:rFonts w:ascii="Arial" w:cs="Arial" w:eastAsia="Arial" w:hAnsi="Arial"/>
                <w:sz w:val="18"/>
                <w:szCs w:val="18"/>
                <w:color w:val="auto"/>
              </w:rPr>
              <w:t>8</w:t>
            </w:r>
          </w:p>
        </w:tc>
      </w:tr>
      <w:tr>
        <w:trPr>
          <w:trHeight w:val="105"/>
        </w:trPr>
        <w:tc>
          <w:tcPr>
            <w:tcW w:w="250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5820" w:type="dxa"/>
            <w:vAlign w:val="bottom"/>
            <w:tcBorders>
              <w:bottom w:val="single" w:sz="8" w:color="808080"/>
            </w:tcBorders>
          </w:tcPr>
          <w:p>
            <w:pPr>
              <w:spacing w:after="0"/>
              <w:rPr>
                <w:sz w:val="9"/>
                <w:szCs w:val="9"/>
                <w:color w:val="auto"/>
              </w:rPr>
            </w:pPr>
          </w:p>
        </w:tc>
      </w:tr>
      <w:tr>
        <w:trPr>
          <w:trHeight w:val="767"/>
        </w:trPr>
        <w:tc>
          <w:tcPr>
            <w:tcW w:w="2500" w:type="dxa"/>
            <w:vAlign w:val="bottom"/>
          </w:tcPr>
          <w:p>
            <w:pPr>
              <w:spacing w:after="0"/>
              <w:rPr>
                <w:sz w:val="20"/>
                <w:szCs w:val="20"/>
                <w:color w:val="auto"/>
              </w:rPr>
            </w:pPr>
            <w:r>
              <w:rPr>
                <w:rFonts w:ascii="Arial" w:cs="Arial" w:eastAsia="Arial" w:hAnsi="Arial"/>
                <w:sz w:val="18"/>
                <w:szCs w:val="18"/>
                <w:b w:val="1"/>
                <w:bCs w:val="1"/>
                <w:color w:val="auto"/>
                <w:w w:val="94"/>
              </w:rPr>
              <w:t>Services: Lending Value Chain</w:t>
            </w:r>
          </w:p>
        </w:tc>
        <w:tc>
          <w:tcPr>
            <w:tcW w:w="3120" w:type="dxa"/>
            <w:vAlign w:val="bottom"/>
          </w:tcPr>
          <w:p>
            <w:pPr>
              <w:spacing w:after="0"/>
              <w:rPr>
                <w:sz w:val="24"/>
                <w:szCs w:val="24"/>
                <w:color w:val="auto"/>
              </w:rPr>
            </w:pPr>
          </w:p>
        </w:tc>
        <w:tc>
          <w:tcPr>
            <w:tcW w:w="5820" w:type="dxa"/>
            <w:vAlign w:val="bottom"/>
          </w:tcPr>
          <w:p>
            <w:pPr>
              <w:jc w:val="right"/>
              <w:ind w:right="810"/>
              <w:spacing w:after="0"/>
              <w:rPr>
                <w:sz w:val="20"/>
                <w:szCs w:val="20"/>
                <w:color w:val="auto"/>
              </w:rPr>
            </w:pPr>
            <w:r>
              <w:rPr>
                <w:rFonts w:ascii="Arial" w:cs="Arial" w:eastAsia="Arial" w:hAnsi="Arial"/>
                <w:sz w:val="18"/>
                <w:szCs w:val="18"/>
                <w:b w:val="1"/>
                <w:bCs w:val="1"/>
                <w:color w:val="auto"/>
              </w:rPr>
              <w:t>[LendingTree Logo]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-2842260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-2842260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-501015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-501015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Substantially higher revenue and earnings by taking on a few additional steps in process.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w w:val="94"/>
              </w:rPr>
              <w:t>Lender Network</w:t>
            </w:r>
          </w:p>
        </w:tc>
        <w:tc>
          <w:tcPr>
            <w:tcW w:w="1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LendingTree</w:t>
            </w: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LTSS</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Wholesale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Lender</w:t>
            </w:r>
          </w:p>
        </w:tc>
        <w:tc>
          <w:tcPr>
            <w:tcW w:w="0" w:type="dxa"/>
            <w:vAlign w:val="bottom"/>
          </w:tcPr>
          <w:p>
            <w:pPr>
              <w:spacing w:after="0"/>
              <w:rPr>
                <w:sz w:val="1"/>
                <w:szCs w:val="1"/>
                <w:color w:val="auto"/>
              </w:rPr>
            </w:pPr>
          </w:p>
        </w:tc>
      </w:tr>
      <w:tr>
        <w:trPr>
          <w:trHeight w:val="182"/>
        </w:trPr>
        <w:tc>
          <w:tcPr>
            <w:tcW w:w="1380" w:type="dxa"/>
            <w:vAlign w:val="bottom"/>
            <w:tcBorders>
              <w:top w:val="single" w:sz="8" w:color="CCEEFF"/>
            </w:tcBorders>
            <w:shd w:val="clear" w:color="auto" w:fill="CCEEFF"/>
          </w:tcPr>
          <w:p>
            <w:pPr>
              <w:jc w:val="center"/>
              <w:ind w:right="130"/>
              <w:spacing w:after="0" w:line="182" w:lineRule="exact"/>
              <w:rPr>
                <w:sz w:val="20"/>
                <w:szCs w:val="20"/>
                <w:color w:val="auto"/>
              </w:rPr>
            </w:pPr>
            <w:r>
              <w:rPr>
                <w:rFonts w:ascii="Arial" w:cs="Arial" w:eastAsia="Arial" w:hAnsi="Arial"/>
                <w:sz w:val="18"/>
                <w:szCs w:val="18"/>
                <w:b w:val="1"/>
                <w:bCs w:val="1"/>
                <w:color w:val="auto"/>
                <w:w w:val="89"/>
              </w:rPr>
              <w:t>Exchange</w:t>
            </w:r>
          </w:p>
        </w:tc>
        <w:tc>
          <w:tcPr>
            <w:tcW w:w="1620" w:type="dxa"/>
            <w:vAlign w:val="bottom"/>
            <w:tcBorders>
              <w:top w:val="single" w:sz="8" w:color="auto"/>
            </w:tcBorders>
            <w:shd w:val="clear" w:color="auto" w:fill="CCEEFF"/>
          </w:tcPr>
          <w:p>
            <w:pPr>
              <w:jc w:val="center"/>
              <w:ind w:right="10"/>
              <w:spacing w:after="0" w:line="182" w:lineRule="exact"/>
              <w:rPr>
                <w:sz w:val="20"/>
                <w:szCs w:val="20"/>
                <w:color w:val="auto"/>
              </w:rPr>
            </w:pPr>
            <w:r>
              <w:rPr>
                <w:rFonts w:ascii="Arial" w:cs="Arial" w:eastAsia="Arial" w:hAnsi="Arial"/>
                <w:sz w:val="18"/>
                <w:szCs w:val="18"/>
                <w:color w:val="auto"/>
                <w:w w:val="89"/>
              </w:rPr>
              <w:t>Lead</w:t>
            </w:r>
          </w:p>
        </w:tc>
        <w:tc>
          <w:tcPr>
            <w:tcW w:w="2240" w:type="dxa"/>
            <w:vAlign w:val="bottom"/>
            <w:tcBorders>
              <w:top w:val="single" w:sz="8" w:color="auto"/>
            </w:tcBorders>
            <w:shd w:val="clear" w:color="auto" w:fill="CCEEFF"/>
          </w:tcPr>
          <w:p>
            <w:pPr>
              <w:ind w:left="620"/>
              <w:spacing w:after="0" w:line="182" w:lineRule="exact"/>
              <w:rPr>
                <w:sz w:val="20"/>
                <w:szCs w:val="20"/>
                <w:color w:val="auto"/>
              </w:rPr>
            </w:pPr>
            <w:r>
              <w:rPr>
                <w:rFonts w:ascii="Arial" w:cs="Arial" w:eastAsia="Arial" w:hAnsi="Arial"/>
                <w:sz w:val="18"/>
                <w:szCs w:val="18"/>
                <w:color w:val="auto"/>
              </w:rPr>
              <w:t>Sales/Lock</w:t>
            </w:r>
          </w:p>
        </w:tc>
        <w:tc>
          <w:tcPr>
            <w:tcW w:w="1060" w:type="dxa"/>
            <w:vAlign w:val="bottom"/>
            <w:tcBorders>
              <w:top w:val="single" w:sz="8" w:color="auto"/>
            </w:tcBorders>
            <w:shd w:val="clear" w:color="auto" w:fill="CCEEFF"/>
          </w:tcPr>
          <w:p>
            <w:pPr>
              <w:ind w:left="40"/>
              <w:spacing w:after="0" w:line="182" w:lineRule="exact"/>
              <w:rPr>
                <w:sz w:val="20"/>
                <w:szCs w:val="20"/>
                <w:color w:val="auto"/>
              </w:rPr>
            </w:pPr>
            <w:r>
              <w:rPr>
                <w:rFonts w:ascii="Arial" w:cs="Arial" w:eastAsia="Arial" w:hAnsi="Arial"/>
                <w:sz w:val="18"/>
                <w:szCs w:val="18"/>
                <w:color w:val="auto"/>
              </w:rPr>
              <w:t>Application</w:t>
            </w:r>
          </w:p>
        </w:tc>
        <w:tc>
          <w:tcPr>
            <w:tcW w:w="5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CCEEFF"/>
            </w:tcBorders>
            <w:gridSpan w:val="2"/>
            <w:shd w:val="clear" w:color="auto" w:fill="CCEEFF"/>
          </w:tcPr>
          <w:p>
            <w:pPr>
              <w:jc w:val="center"/>
              <w:ind w:right="560"/>
              <w:spacing w:after="0" w:line="182" w:lineRule="exact"/>
              <w:rPr>
                <w:sz w:val="20"/>
                <w:szCs w:val="20"/>
                <w:color w:val="auto"/>
              </w:rPr>
            </w:pPr>
            <w:r>
              <w:rPr>
                <w:rFonts w:ascii="Arial" w:cs="Arial" w:eastAsia="Arial" w:hAnsi="Arial"/>
                <w:sz w:val="18"/>
                <w:szCs w:val="18"/>
                <w:color w:val="auto"/>
                <w:w w:val="87"/>
              </w:rPr>
              <w:t>Processing</w:t>
            </w:r>
          </w:p>
        </w:tc>
        <w:tc>
          <w:tcPr>
            <w:tcW w:w="16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3"/>
              </w:rPr>
              <w:t>Funding/Closing/</w:t>
            </w:r>
          </w:p>
        </w:tc>
        <w:tc>
          <w:tcPr>
            <w:tcW w:w="2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Servicing</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380" w:type="dxa"/>
            <w:vAlign w:val="bottom"/>
            <w:shd w:val="clear" w:color="auto" w:fill="CCEEFF"/>
          </w:tcPr>
          <w:p>
            <w:pPr>
              <w:spacing w:after="0"/>
              <w:rPr>
                <w:sz w:val="21"/>
                <w:szCs w:val="21"/>
                <w:color w:val="auto"/>
              </w:rPr>
            </w:pPr>
          </w:p>
        </w:tc>
        <w:tc>
          <w:tcPr>
            <w:tcW w:w="16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Generation</w:t>
            </w:r>
          </w:p>
        </w:tc>
        <w:tc>
          <w:tcPr>
            <w:tcW w:w="2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6"/>
              </w:rPr>
              <w:t>/Underwriting</w:t>
            </w:r>
          </w:p>
        </w:tc>
        <w:tc>
          <w:tcPr>
            <w:tcW w:w="18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Escrow</w:t>
            </w: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3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40" w:type="dxa"/>
            <w:vAlign w:val="bottom"/>
            <w:vMerge w:val="restart"/>
          </w:tcPr>
          <w:p>
            <w:pPr>
              <w:ind w:left="1420"/>
              <w:spacing w:after="0"/>
              <w:rPr>
                <w:sz w:val="20"/>
                <w:szCs w:val="20"/>
                <w:color w:val="auto"/>
              </w:rPr>
            </w:pPr>
            <w:r>
              <w:rPr>
                <w:rFonts w:ascii="Arial" w:cs="Arial" w:eastAsia="Arial" w:hAnsi="Arial"/>
                <w:sz w:val="14"/>
                <w:szCs w:val="14"/>
                <w:b w:val="1"/>
                <w:bCs w:val="1"/>
                <w:color w:val="auto"/>
                <w:w w:val="95"/>
              </w:rPr>
              <w:t>LendingTree</w:t>
            </w: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LTSS</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Wholesale</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Lender</w:t>
            </w:r>
          </w:p>
        </w:tc>
        <w:tc>
          <w:tcPr>
            <w:tcW w:w="0" w:type="dxa"/>
            <w:vAlign w:val="bottom"/>
          </w:tcPr>
          <w:p>
            <w:pPr>
              <w:spacing w:after="0"/>
              <w:rPr>
                <w:sz w:val="1"/>
                <w:szCs w:val="1"/>
                <w:color w:val="auto"/>
              </w:rPr>
            </w:pPr>
          </w:p>
        </w:tc>
      </w:tr>
      <w:tr>
        <w:trPr>
          <w:trHeight w:val="178"/>
        </w:trPr>
        <w:tc>
          <w:tcPr>
            <w:tcW w:w="1380" w:type="dxa"/>
            <w:vAlign w:val="bottom"/>
            <w:tcBorders>
              <w:top w:val="single" w:sz="8" w:color="CCEEFF"/>
            </w:tcBorders>
            <w:shd w:val="clear" w:color="auto" w:fill="CCEEFF"/>
          </w:tcPr>
          <w:p>
            <w:pPr>
              <w:jc w:val="center"/>
              <w:ind w:right="130"/>
              <w:spacing w:after="0" w:line="178" w:lineRule="exact"/>
              <w:rPr>
                <w:sz w:val="20"/>
                <w:szCs w:val="20"/>
                <w:color w:val="auto"/>
              </w:rPr>
            </w:pPr>
            <w:r>
              <w:rPr>
                <w:rFonts w:ascii="Arial" w:cs="Arial" w:eastAsia="Arial" w:hAnsi="Arial"/>
                <w:sz w:val="18"/>
                <w:szCs w:val="18"/>
                <w:b w:val="1"/>
                <w:bCs w:val="1"/>
                <w:color w:val="auto"/>
                <w:w w:val="97"/>
              </w:rPr>
              <w:t>w/LT</w:t>
            </w:r>
          </w:p>
        </w:tc>
        <w:tc>
          <w:tcPr>
            <w:tcW w:w="1620" w:type="dxa"/>
            <w:vAlign w:val="bottom"/>
            <w:tcBorders>
              <w:top w:val="single" w:sz="8" w:color="auto"/>
            </w:tcBorders>
            <w:shd w:val="clear" w:color="auto" w:fill="CCEEFF"/>
          </w:tcPr>
          <w:p>
            <w:pPr>
              <w:jc w:val="center"/>
              <w:ind w:right="10"/>
              <w:spacing w:after="0" w:line="178" w:lineRule="exact"/>
              <w:rPr>
                <w:sz w:val="20"/>
                <w:szCs w:val="20"/>
                <w:color w:val="auto"/>
              </w:rPr>
            </w:pPr>
            <w:r>
              <w:rPr>
                <w:rFonts w:ascii="Arial" w:cs="Arial" w:eastAsia="Arial" w:hAnsi="Arial"/>
                <w:sz w:val="18"/>
                <w:szCs w:val="18"/>
                <w:color w:val="auto"/>
                <w:w w:val="89"/>
              </w:rPr>
              <w:t>Lead</w:t>
            </w:r>
          </w:p>
        </w:tc>
        <w:tc>
          <w:tcPr>
            <w:tcW w:w="2240" w:type="dxa"/>
            <w:vAlign w:val="bottom"/>
            <w:tcBorders>
              <w:top w:val="single" w:sz="8" w:color="auto"/>
            </w:tcBorders>
            <w:shd w:val="clear" w:color="auto" w:fill="CCEEFF"/>
          </w:tcPr>
          <w:p>
            <w:pPr>
              <w:ind w:left="620"/>
              <w:spacing w:after="0" w:line="178" w:lineRule="exact"/>
              <w:rPr>
                <w:sz w:val="20"/>
                <w:szCs w:val="20"/>
                <w:color w:val="auto"/>
              </w:rPr>
            </w:pPr>
            <w:r>
              <w:rPr>
                <w:rFonts w:ascii="Arial" w:cs="Arial" w:eastAsia="Arial" w:hAnsi="Arial"/>
                <w:sz w:val="18"/>
                <w:szCs w:val="18"/>
                <w:color w:val="auto"/>
              </w:rPr>
              <w:t>Sales/Lock</w:t>
            </w:r>
          </w:p>
        </w:tc>
        <w:tc>
          <w:tcPr>
            <w:tcW w:w="1640" w:type="dxa"/>
            <w:vAlign w:val="bottom"/>
            <w:tcBorders>
              <w:top w:val="single" w:sz="8" w:color="auto"/>
            </w:tcBorders>
            <w:gridSpan w:val="2"/>
            <w:shd w:val="clear" w:color="auto" w:fill="CCEEFF"/>
          </w:tcPr>
          <w:p>
            <w:pPr>
              <w:ind w:left="40"/>
              <w:spacing w:after="0" w:line="178" w:lineRule="exact"/>
              <w:rPr>
                <w:sz w:val="20"/>
                <w:szCs w:val="20"/>
                <w:color w:val="auto"/>
              </w:rPr>
            </w:pPr>
            <w:r>
              <w:rPr>
                <w:rFonts w:ascii="Arial" w:cs="Arial" w:eastAsia="Arial" w:hAnsi="Arial"/>
                <w:sz w:val="18"/>
                <w:szCs w:val="18"/>
                <w:color w:val="auto"/>
              </w:rPr>
              <w:t>Application</w:t>
            </w:r>
          </w:p>
        </w:tc>
        <w:tc>
          <w:tcPr>
            <w:tcW w:w="1360" w:type="dxa"/>
            <w:vAlign w:val="bottom"/>
            <w:tcBorders>
              <w:top w:val="single" w:sz="8" w:color="auto"/>
            </w:tcBorders>
            <w:shd w:val="clear" w:color="auto" w:fill="CCEEFF"/>
          </w:tcPr>
          <w:p>
            <w:pPr>
              <w:jc w:val="center"/>
              <w:ind w:right="250"/>
              <w:spacing w:after="0" w:line="178" w:lineRule="exact"/>
              <w:rPr>
                <w:sz w:val="20"/>
                <w:szCs w:val="20"/>
                <w:color w:val="auto"/>
              </w:rPr>
            </w:pPr>
            <w:r>
              <w:rPr>
                <w:rFonts w:ascii="Arial" w:cs="Arial" w:eastAsia="Arial" w:hAnsi="Arial"/>
                <w:sz w:val="18"/>
                <w:szCs w:val="18"/>
                <w:color w:val="auto"/>
                <w:w w:val="87"/>
              </w:rPr>
              <w:t>Processing</w:t>
            </w:r>
          </w:p>
        </w:tc>
        <w:tc>
          <w:tcPr>
            <w:tcW w:w="22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center"/>
              <w:spacing w:after="0" w:line="178" w:lineRule="exact"/>
              <w:rPr>
                <w:sz w:val="20"/>
                <w:szCs w:val="20"/>
                <w:color w:val="auto"/>
              </w:rPr>
            </w:pPr>
            <w:r>
              <w:rPr>
                <w:rFonts w:ascii="Arial" w:cs="Arial" w:eastAsia="Arial" w:hAnsi="Arial"/>
                <w:sz w:val="18"/>
                <w:szCs w:val="18"/>
                <w:color w:val="auto"/>
                <w:w w:val="93"/>
              </w:rPr>
              <w:t>Funding/Closing/</w:t>
            </w:r>
          </w:p>
        </w:tc>
        <w:tc>
          <w:tcPr>
            <w:tcW w:w="2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line="178" w:lineRule="exact"/>
              <w:rPr>
                <w:sz w:val="20"/>
                <w:szCs w:val="20"/>
                <w:color w:val="auto"/>
              </w:rPr>
            </w:pPr>
            <w:r>
              <w:rPr>
                <w:rFonts w:ascii="Arial" w:cs="Arial" w:eastAsia="Arial" w:hAnsi="Arial"/>
                <w:sz w:val="18"/>
                <w:szCs w:val="18"/>
                <w:color w:val="auto"/>
                <w:w w:val="91"/>
              </w:rPr>
              <w:t>Servicing</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1380" w:type="dxa"/>
            <w:vAlign w:val="bottom"/>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90"/>
              </w:rPr>
              <w:t>Loans</w:t>
            </w:r>
          </w:p>
        </w:tc>
        <w:tc>
          <w:tcPr>
            <w:tcW w:w="16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Generation</w:t>
            </w:r>
          </w:p>
        </w:tc>
        <w:tc>
          <w:tcPr>
            <w:tcW w:w="2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6"/>
              </w:rPr>
              <w:t>/Underwriting</w:t>
            </w:r>
          </w:p>
        </w:tc>
        <w:tc>
          <w:tcPr>
            <w:tcW w:w="18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Escrow</w:t>
            </w: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IAC/InterActiveCorp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Prepared June 7, 2005</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8800" w:val="left"/>
        </w:tabs>
        <w:rPr>
          <w:sz w:val="20"/>
          <w:szCs w:val="20"/>
          <w:color w:val="auto"/>
        </w:rPr>
      </w:pPr>
      <w:r>
        <w:rPr>
          <w:rFonts w:ascii="Arial" w:cs="Arial" w:eastAsia="Arial" w:hAnsi="Arial"/>
          <w:sz w:val="18"/>
          <w:szCs w:val="18"/>
          <w:b w:val="1"/>
          <w:bCs w:val="1"/>
          <w:color w:val="auto"/>
        </w:rPr>
        <w:t>Services: Real Estate Differentiation</w:t>
      </w:r>
      <w:r>
        <w:rPr>
          <w:sz w:val="20"/>
          <w:szCs w:val="20"/>
          <w:color w:val="auto"/>
        </w:rPr>
        <w:tab/>
      </w:r>
      <w:r>
        <w:rPr>
          <w:rFonts w:ascii="Arial" w:cs="Arial" w:eastAsia="Arial" w:hAnsi="Arial"/>
          <w:sz w:val="16"/>
          <w:szCs w:val="16"/>
          <w:b w:val="1"/>
          <w:bCs w:val="1"/>
          <w:color w:val="auto"/>
        </w:rPr>
        <w:t>[RealEstate.com Logo]</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“Inventing a Better Way” – Creating the premier destination for buying and selling a home.</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b w:val="1"/>
                <w:bCs w:val="1"/>
                <w:color w:val="auto"/>
                <w:w w:val="81"/>
              </w:rPr>
              <w:t>Buy a</w:t>
            </w:r>
          </w:p>
        </w:tc>
        <w:tc>
          <w:tcPr>
            <w:tcW w:w="108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Sell a</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Home</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Your</w:t>
            </w:r>
          </w:p>
        </w:tc>
        <w:tc>
          <w:tcPr>
            <w:tcW w:w="17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1-800-</w:t>
            </w: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line="196" w:lineRule="exact"/>
              <w:rPr>
                <w:sz w:val="20"/>
                <w:szCs w:val="20"/>
                <w:color w:val="auto"/>
              </w:rPr>
            </w:pPr>
            <w:r>
              <w:rPr>
                <w:rFonts w:ascii="Arial" w:cs="Arial" w:eastAsia="Arial" w:hAnsi="Arial"/>
                <w:sz w:val="18"/>
                <w:szCs w:val="18"/>
                <w:b w:val="1"/>
                <w:bCs w:val="1"/>
                <w:color w:val="auto"/>
                <w:w w:val="87"/>
              </w:rPr>
              <w:t>Home</w:t>
            </w:r>
          </w:p>
        </w:tc>
        <w:tc>
          <w:tcPr>
            <w:tcW w:w="780" w:type="dxa"/>
            <w:vAlign w:val="bottom"/>
          </w:tcPr>
          <w:p>
            <w:pPr>
              <w:spacing w:after="0"/>
              <w:rPr>
                <w:sz w:val="17"/>
                <w:szCs w:val="17"/>
                <w:color w:val="auto"/>
              </w:rPr>
            </w:pPr>
          </w:p>
        </w:tc>
        <w:tc>
          <w:tcPr>
            <w:tcW w:w="44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Home</w:t>
            </w:r>
          </w:p>
        </w:tc>
        <w:tc>
          <w:tcPr>
            <w:tcW w:w="2300" w:type="dxa"/>
            <w:vAlign w:val="bottom"/>
            <w:gridSpan w:val="3"/>
          </w:tcPr>
          <w:p>
            <w:pPr>
              <w:ind w:left="1060"/>
              <w:spacing w:after="0" w:line="196" w:lineRule="exact"/>
              <w:rPr>
                <w:sz w:val="20"/>
                <w:szCs w:val="20"/>
                <w:color w:val="auto"/>
              </w:rPr>
            </w:pPr>
            <w:r>
              <w:rPr>
                <w:rFonts w:ascii="Arial" w:cs="Arial" w:eastAsia="Arial" w:hAnsi="Arial"/>
                <w:sz w:val="18"/>
                <w:szCs w:val="18"/>
                <w:b w:val="1"/>
                <w:bCs w:val="1"/>
                <w:color w:val="auto"/>
              </w:rPr>
              <w:t>Home</w:t>
            </w:r>
          </w:p>
        </w:tc>
        <w:tc>
          <w:tcPr>
            <w:tcW w:w="15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Refinance</w:t>
            </w:r>
          </w:p>
        </w:tc>
        <w:tc>
          <w:tcPr>
            <w:tcW w:w="820" w:type="dxa"/>
            <w:vAlign w:val="bottom"/>
            <w:gridSpan w:val="3"/>
          </w:tcPr>
          <w:p>
            <w:pPr>
              <w:jc w:val="center"/>
              <w:ind w:right="200"/>
              <w:spacing w:after="0" w:line="196" w:lineRule="exact"/>
              <w:rPr>
                <w:sz w:val="20"/>
                <w:szCs w:val="20"/>
                <w:color w:val="auto"/>
              </w:rPr>
            </w:pPr>
            <w:r>
              <w:rPr>
                <w:rFonts w:ascii="Arial" w:cs="Arial" w:eastAsia="Arial" w:hAnsi="Arial"/>
                <w:sz w:val="18"/>
                <w:szCs w:val="18"/>
                <w:b w:val="1"/>
                <w:bCs w:val="1"/>
                <w:color w:val="auto"/>
                <w:w w:val="98"/>
              </w:rPr>
              <w:t>Equity</w:t>
            </w:r>
          </w:p>
        </w:tc>
        <w:tc>
          <w:tcPr>
            <w:tcW w:w="1700" w:type="dxa"/>
            <w:vAlign w:val="bottom"/>
            <w:gridSpan w:val="3"/>
          </w:tcPr>
          <w:p>
            <w:pPr>
              <w:ind w:left="540"/>
              <w:spacing w:after="0" w:line="196" w:lineRule="exact"/>
              <w:rPr>
                <w:sz w:val="20"/>
                <w:szCs w:val="20"/>
                <w:color w:val="auto"/>
              </w:rPr>
            </w:pPr>
            <w:r>
              <w:rPr>
                <w:rFonts w:ascii="Arial" w:cs="Arial" w:eastAsia="Arial" w:hAnsi="Arial"/>
                <w:sz w:val="18"/>
                <w:szCs w:val="18"/>
                <w:b w:val="1"/>
                <w:bCs w:val="1"/>
                <w:color w:val="auto"/>
              </w:rPr>
              <w:t>About Us</w:t>
            </w:r>
          </w:p>
        </w:tc>
        <w:tc>
          <w:tcPr>
            <w:tcW w:w="1100" w:type="dxa"/>
            <w:vAlign w:val="bottom"/>
            <w:gridSpan w:val="5"/>
          </w:tcPr>
          <w:p>
            <w:pPr>
              <w:jc w:val="center"/>
              <w:ind w:left="130"/>
              <w:spacing w:after="0" w:line="196" w:lineRule="exact"/>
              <w:rPr>
                <w:sz w:val="20"/>
                <w:szCs w:val="20"/>
                <w:color w:val="auto"/>
              </w:rPr>
            </w:pPr>
            <w:r>
              <w:rPr>
                <w:rFonts w:ascii="Arial" w:cs="Arial" w:eastAsia="Arial" w:hAnsi="Arial"/>
                <w:sz w:val="18"/>
                <w:szCs w:val="18"/>
                <w:b w:val="1"/>
                <w:bCs w:val="1"/>
                <w:color w:val="auto"/>
                <w:w w:val="88"/>
              </w:rPr>
              <w:t>Account</w:t>
            </w:r>
          </w:p>
        </w:tc>
        <w:tc>
          <w:tcPr>
            <w:tcW w:w="940" w:type="dxa"/>
            <w:vAlign w:val="bottom"/>
          </w:tcPr>
          <w:p>
            <w:pPr>
              <w:spacing w:after="0"/>
              <w:rPr>
                <w:sz w:val="17"/>
                <w:szCs w:val="17"/>
                <w:color w:val="auto"/>
              </w:rPr>
            </w:pPr>
          </w:p>
        </w:tc>
        <w:tc>
          <w:tcPr>
            <w:tcW w:w="82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89"/>
              </w:rPr>
              <w:t>RealEstate</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tcBorders>
              <w:left w:val="single" w:sz="8" w:color="auto"/>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60" w:type="dxa"/>
            <w:vAlign w:val="bottom"/>
          </w:tcPr>
          <w:p>
            <w:pPr>
              <w:spacing w:after="0"/>
              <w:rPr>
                <w:sz w:val="24"/>
                <w:szCs w:val="24"/>
                <w:color w:val="auto"/>
              </w:rPr>
            </w:pPr>
          </w:p>
        </w:tc>
        <w:tc>
          <w:tcPr>
            <w:tcW w:w="78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782</w:t>
            </w:r>
          </w:p>
        </w:tc>
        <w:tc>
          <w:tcPr>
            <w:tcW w:w="440" w:type="dxa"/>
            <w:vAlign w:val="bottom"/>
          </w:tcPr>
          <w:p>
            <w:pPr>
              <w:spacing w:after="0"/>
              <w:rPr>
                <w:sz w:val="24"/>
                <w:szCs w:val="24"/>
                <w:color w:val="auto"/>
              </w:rPr>
            </w:pPr>
          </w:p>
        </w:tc>
        <w:tc>
          <w:tcPr>
            <w:tcW w:w="1500" w:type="dxa"/>
            <w:vAlign w:val="bottom"/>
            <w:gridSpan w:val="2"/>
          </w:tcPr>
          <w:p>
            <w:pPr>
              <w:jc w:val="center"/>
              <w:ind w:left="890"/>
              <w:spacing w:after="0"/>
              <w:rPr>
                <w:sz w:val="20"/>
                <w:szCs w:val="20"/>
                <w:color w:val="auto"/>
              </w:rPr>
            </w:pPr>
            <w:r>
              <w:rPr>
                <w:rFonts w:ascii="Arial" w:cs="Arial" w:eastAsia="Arial" w:hAnsi="Arial"/>
                <w:sz w:val="18"/>
                <w:szCs w:val="18"/>
                <w:b w:val="1"/>
                <w:bCs w:val="1"/>
                <w:color w:val="auto"/>
                <w:w w:val="88"/>
              </w:rPr>
              <w:t>8,096</w:t>
            </w:r>
          </w:p>
        </w:tc>
        <w:tc>
          <w:tcPr>
            <w:tcW w:w="800" w:type="dxa"/>
            <w:vAlign w:val="bottom"/>
          </w:tcPr>
          <w:p>
            <w:pPr>
              <w:spacing w:after="0"/>
              <w:rPr>
                <w:sz w:val="24"/>
                <w:szCs w:val="24"/>
                <w:color w:val="auto"/>
              </w:rPr>
            </w:pPr>
          </w:p>
        </w:tc>
        <w:tc>
          <w:tcPr>
            <w:tcW w:w="152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3"/>
              </w:rPr>
              <w:t>685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86"/>
              </w:rPr>
              <w:t>249</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4"/>
            <w:vMerge w:val="restart"/>
          </w:tcPr>
          <w:p>
            <w:pPr>
              <w:jc w:val="center"/>
              <w:ind w:right="240"/>
              <w:spacing w:after="0"/>
              <w:rPr>
                <w:sz w:val="20"/>
                <w:szCs w:val="20"/>
                <w:color w:val="auto"/>
              </w:rPr>
            </w:pPr>
            <w:r>
              <w:rPr>
                <w:rFonts w:ascii="Arial" w:cs="Arial" w:eastAsia="Arial" w:hAnsi="Arial"/>
                <w:sz w:val="18"/>
                <w:szCs w:val="18"/>
                <w:b w:val="1"/>
                <w:bCs w:val="1"/>
                <w:color w:val="auto"/>
                <w:w w:val="90"/>
              </w:rPr>
              <w:t>1.2 million</w:t>
            </w:r>
          </w:p>
        </w:tc>
        <w:tc>
          <w:tcPr>
            <w:tcW w:w="0" w:type="dxa"/>
            <w:vAlign w:val="bottom"/>
          </w:tcPr>
          <w:p>
            <w:pPr>
              <w:spacing w:after="0"/>
              <w:rPr>
                <w:sz w:val="1"/>
                <w:szCs w:val="1"/>
                <w:color w:val="auto"/>
              </w:rPr>
            </w:pPr>
          </w:p>
        </w:tc>
      </w:tr>
      <w:tr>
        <w:trPr>
          <w:trHeight w:val="230"/>
        </w:trPr>
        <w:tc>
          <w:tcPr>
            <w:tcW w:w="1240" w:type="dxa"/>
            <w:vAlign w:val="bottom"/>
            <w:gridSpan w:val="2"/>
          </w:tcPr>
          <w:p>
            <w:pPr>
              <w:jc w:val="center"/>
              <w:ind w:left="90"/>
              <w:spacing w:after="0"/>
              <w:rPr>
                <w:sz w:val="20"/>
                <w:szCs w:val="20"/>
                <w:color w:val="auto"/>
              </w:rPr>
            </w:pPr>
            <w:r>
              <w:rPr>
                <w:rFonts w:ascii="Arial" w:cs="Arial" w:eastAsia="Arial" w:hAnsi="Arial"/>
                <w:sz w:val="18"/>
                <w:szCs w:val="18"/>
                <w:color w:val="auto"/>
                <w:w w:val="93"/>
              </w:rPr>
              <w:t>Brokers</w:t>
            </w:r>
          </w:p>
        </w:tc>
        <w:tc>
          <w:tcPr>
            <w:tcW w:w="440" w:type="dxa"/>
            <w:vAlign w:val="bottom"/>
          </w:tcPr>
          <w:p>
            <w:pPr>
              <w:spacing w:after="0"/>
              <w:rPr>
                <w:sz w:val="20"/>
                <w:szCs w:val="20"/>
                <w:color w:val="auto"/>
              </w:rPr>
            </w:pPr>
          </w:p>
        </w:tc>
        <w:tc>
          <w:tcPr>
            <w:tcW w:w="230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Agents</w:t>
            </w:r>
          </w:p>
        </w:tc>
        <w:tc>
          <w:tcPr>
            <w:tcW w:w="1520" w:type="dxa"/>
            <w:vAlign w:val="bottom"/>
            <w:gridSpan w:val="2"/>
          </w:tcPr>
          <w:p>
            <w:pPr>
              <w:jc w:val="center"/>
              <w:ind w:left="510"/>
              <w:spacing w:after="0"/>
              <w:rPr>
                <w:sz w:val="20"/>
                <w:szCs w:val="20"/>
                <w:color w:val="auto"/>
              </w:rPr>
            </w:pPr>
            <w:r>
              <w:rPr>
                <w:rFonts w:ascii="Arial" w:cs="Arial" w:eastAsia="Arial" w:hAnsi="Arial"/>
                <w:sz w:val="18"/>
                <w:szCs w:val="18"/>
                <w:color w:val="auto"/>
                <w:w w:val="92"/>
              </w:rPr>
              <w:t>Builders</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Lenders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124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$1,000 Rebate</w:t>
            </w:r>
          </w:p>
        </w:tc>
        <w:tc>
          <w:tcPr>
            <w:tcW w:w="440" w:type="dxa"/>
            <w:vAlign w:val="bottom"/>
          </w:tcPr>
          <w:p>
            <w:pPr>
              <w:spacing w:after="0"/>
              <w:rPr>
                <w:sz w:val="24"/>
                <w:szCs w:val="24"/>
                <w:color w:val="auto"/>
              </w:rPr>
            </w:pPr>
          </w:p>
        </w:tc>
        <w:tc>
          <w:tcPr>
            <w:tcW w:w="230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Agents Compete</w:t>
            </w:r>
          </w:p>
        </w:tc>
        <w:tc>
          <w:tcPr>
            <w:tcW w:w="152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1% Rebate</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Banks Compete</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4"/>
          </w:tcPr>
          <w:p>
            <w:pPr>
              <w:jc w:val="center"/>
              <w:ind w:right="240"/>
              <w:spacing w:after="0"/>
              <w:rPr>
                <w:sz w:val="20"/>
                <w:szCs w:val="20"/>
                <w:color w:val="auto"/>
              </w:rPr>
            </w:pPr>
            <w:r>
              <w:rPr>
                <w:rFonts w:ascii="Arial" w:cs="Arial" w:eastAsia="Arial" w:hAnsi="Arial"/>
                <w:sz w:val="18"/>
                <w:szCs w:val="18"/>
                <w:color w:val="auto"/>
                <w:w w:val="93"/>
              </w:rPr>
              <w:t>live home listings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available</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Services: </w:t>
      </w:r>
      <w:r>
        <w:rPr>
          <w:rFonts w:ascii="Arial" w:cs="Arial" w:eastAsia="Arial" w:hAnsi="Arial"/>
          <w:sz w:val="18"/>
          <w:szCs w:val="18"/>
          <w:color w:val="auto"/>
        </w:rPr>
        <w:t>appraisal, title, closing, and settlement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IAC/InterActiveCorp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Prepared June 7, 2005</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334" w:right="21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20"/>
                <w:szCs w:val="20"/>
                <w:color w:val="auto"/>
              </w:rPr>
            </w:pPr>
            <w:r>
              <w:rPr>
                <w:rFonts w:ascii="Arial" w:cs="Arial" w:eastAsia="Arial" w:hAnsi="Arial"/>
                <w:sz w:val="18"/>
                <w:szCs w:val="18"/>
                <w:b w:val="1"/>
                <w:bCs w:val="1"/>
                <w:color w:val="auto"/>
              </w:rPr>
              <w:t>Services: “Sell MoreTickets, Better”</w:t>
            </w:r>
          </w:p>
        </w:tc>
        <w:tc>
          <w:tcPr>
            <w:tcW w:w="4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0" w:type="dxa"/>
            <w:vAlign w:val="bottom"/>
            <w:gridSpan w:val="2"/>
          </w:tcPr>
          <w:p>
            <w:pPr>
              <w:ind w:left="1100"/>
              <w:spacing w:after="0"/>
              <w:rPr>
                <w:sz w:val="20"/>
                <w:szCs w:val="20"/>
                <w:color w:val="auto"/>
              </w:rPr>
            </w:pPr>
            <w:r>
              <w:rPr>
                <w:rFonts w:ascii="Arial" w:cs="Arial" w:eastAsia="Arial" w:hAnsi="Arial"/>
                <w:sz w:val="18"/>
                <w:szCs w:val="18"/>
                <w:b w:val="1"/>
                <w:bCs w:val="1"/>
                <w:color w:val="auto"/>
              </w:rPr>
              <w:t>[Ticketmaster Logo]</w:t>
            </w:r>
          </w:p>
        </w:tc>
        <w:tc>
          <w:tcPr>
            <w:tcW w:w="20" w:type="dxa"/>
            <w:vAlign w:val="bottom"/>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1420" w:type="dxa"/>
            <w:vAlign w:val="bottom"/>
            <w:gridSpan w:val="6"/>
          </w:tcPr>
          <w:p>
            <w:pPr>
              <w:spacing w:after="0"/>
              <w:rPr>
                <w:sz w:val="20"/>
                <w:szCs w:val="20"/>
                <w:color w:val="auto"/>
              </w:rPr>
            </w:pPr>
            <w:r>
              <w:rPr>
                <w:rFonts w:ascii="Arial" w:cs="Arial" w:eastAsia="Arial" w:hAnsi="Arial"/>
                <w:sz w:val="18"/>
                <w:szCs w:val="18"/>
                <w:color w:val="auto"/>
              </w:rPr>
              <w:t>[Bar graph showing ticketing OIBA 2002 ($119), 2003 ($145) and 2004 ($164) and the CAGR of +17% (for the period from 2002 to 2004 )]</w:t>
            </w:r>
          </w:p>
        </w:tc>
        <w:tc>
          <w:tcPr>
            <w:tcW w:w="20" w:type="dxa"/>
            <w:vAlign w:val="bottom"/>
          </w:tcPr>
          <w:p>
            <w:pPr>
              <w:spacing w:after="0"/>
              <w:rPr>
                <w:sz w:val="24"/>
                <w:szCs w:val="24"/>
                <w:color w:val="auto"/>
              </w:rPr>
            </w:pPr>
          </w:p>
        </w:tc>
      </w:tr>
      <w:tr>
        <w:trPr>
          <w:trHeight w:val="581"/>
        </w:trPr>
        <w:tc>
          <w:tcPr>
            <w:tcW w:w="3600" w:type="dxa"/>
            <w:vAlign w:val="bottom"/>
          </w:tcPr>
          <w:p>
            <w:pPr>
              <w:spacing w:after="0"/>
              <w:rPr>
                <w:sz w:val="20"/>
                <w:szCs w:val="20"/>
                <w:color w:val="auto"/>
              </w:rPr>
            </w:pPr>
            <w:r>
              <w:rPr>
                <w:rFonts w:ascii="Arial" w:cs="Arial" w:eastAsia="Arial" w:hAnsi="Arial"/>
                <w:sz w:val="14"/>
                <w:szCs w:val="14"/>
                <w:b w:val="1"/>
                <w:bCs w:val="1"/>
                <w:color w:val="auto"/>
              </w:rPr>
              <w:t>Initiative</w:t>
            </w:r>
          </w:p>
        </w:tc>
        <w:tc>
          <w:tcPr>
            <w:tcW w:w="46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4"/>
              </w:rPr>
              <w:t>Q1 04</w:t>
            </w:r>
          </w:p>
        </w:tc>
        <w:tc>
          <w:tcPr>
            <w:tcW w:w="460" w:type="dxa"/>
            <w:vAlign w:val="bottom"/>
          </w:tcPr>
          <w:p>
            <w:pPr>
              <w:spacing w:after="0"/>
              <w:rPr>
                <w:sz w:val="24"/>
                <w:szCs w:val="24"/>
                <w:color w:val="auto"/>
              </w:rPr>
            </w:pPr>
          </w:p>
        </w:tc>
        <w:tc>
          <w:tcPr>
            <w:tcW w:w="3600" w:type="dxa"/>
            <w:vAlign w:val="bottom"/>
            <w:gridSpan w:val="2"/>
          </w:tcPr>
          <w:p>
            <w:pPr>
              <w:ind w:left="1460"/>
              <w:spacing w:after="0"/>
              <w:rPr>
                <w:sz w:val="20"/>
                <w:szCs w:val="20"/>
                <w:color w:val="auto"/>
              </w:rPr>
            </w:pPr>
            <w:r>
              <w:rPr>
                <w:rFonts w:ascii="Arial" w:cs="Arial" w:eastAsia="Arial" w:hAnsi="Arial"/>
                <w:sz w:val="14"/>
                <w:szCs w:val="14"/>
                <w:b w:val="1"/>
                <w:bCs w:val="1"/>
                <w:color w:val="auto"/>
              </w:rPr>
              <w:t>Q1 05</w:t>
            </w:r>
          </w:p>
        </w:tc>
        <w:tc>
          <w:tcPr>
            <w:tcW w:w="20" w:type="dxa"/>
            <w:vAlign w:val="bottom"/>
          </w:tcPr>
          <w:p>
            <w:pPr>
              <w:spacing w:after="0"/>
              <w:rPr>
                <w:sz w:val="24"/>
                <w:szCs w:val="24"/>
                <w:color w:val="auto"/>
              </w:rPr>
            </w:pPr>
          </w:p>
        </w:tc>
      </w:tr>
      <w:tr>
        <w:trPr>
          <w:trHeight w:val="210"/>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Ticketmaster Alerts</w:t>
            </w:r>
          </w:p>
        </w:tc>
        <w:tc>
          <w:tcPr>
            <w:tcW w:w="46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126 mm</w:t>
            </w:r>
          </w:p>
        </w:tc>
        <w:tc>
          <w:tcPr>
            <w:tcW w:w="46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190 mm</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ticketFast %</w:t>
            </w:r>
          </w:p>
        </w:tc>
        <w:tc>
          <w:tcPr>
            <w:tcW w:w="3760" w:type="dxa"/>
            <w:vAlign w:val="bottom"/>
            <w:gridSpan w:val="2"/>
          </w:tcPr>
          <w:p>
            <w:pPr>
              <w:ind w:left="460"/>
              <w:spacing w:after="0"/>
              <w:rPr>
                <w:sz w:val="20"/>
                <w:szCs w:val="20"/>
                <w:color w:val="auto"/>
              </w:rPr>
            </w:pPr>
            <w:r>
              <w:rPr>
                <w:rFonts w:ascii="Arial" w:cs="Arial" w:eastAsia="Arial" w:hAnsi="Arial"/>
                <w:sz w:val="18"/>
                <w:szCs w:val="18"/>
                <w:color w:val="auto"/>
              </w:rPr>
              <w:t>12%</w:t>
            </w:r>
          </w:p>
        </w:tc>
        <w:tc>
          <w:tcPr>
            <w:tcW w:w="3760" w:type="dxa"/>
            <w:vAlign w:val="bottom"/>
            <w:gridSpan w:val="2"/>
          </w:tcPr>
          <w:p>
            <w:pPr>
              <w:ind w:left="46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xml:space="preserve">TeamExchange </w:t>
            </w:r>
            <w:r>
              <w:rPr>
                <w:rFonts w:ascii="Arial" w:cs="Arial" w:eastAsia="Arial" w:hAnsi="Arial"/>
                <w:sz w:val="18"/>
                <w:szCs w:val="18"/>
                <w:color w:val="auto"/>
              </w:rPr>
              <w:t>teams</w:t>
            </w:r>
          </w:p>
        </w:tc>
        <w:tc>
          <w:tcPr>
            <w:tcW w:w="3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w:t>
            </w:r>
          </w:p>
        </w:tc>
        <w:tc>
          <w:tcPr>
            <w:tcW w:w="3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 auctions</w:t>
            </w:r>
          </w:p>
        </w:tc>
        <w:tc>
          <w:tcPr>
            <w:tcW w:w="3760" w:type="dxa"/>
            <w:vAlign w:val="bottom"/>
            <w:gridSpan w:val="2"/>
          </w:tcPr>
          <w:p>
            <w:pPr>
              <w:ind w:left="460"/>
              <w:spacing w:after="0"/>
              <w:rPr>
                <w:sz w:val="20"/>
                <w:szCs w:val="20"/>
                <w:color w:val="auto"/>
              </w:rPr>
            </w:pPr>
            <w:r>
              <w:rPr>
                <w:rFonts w:ascii="Arial" w:cs="Arial" w:eastAsia="Arial" w:hAnsi="Arial"/>
                <w:sz w:val="18"/>
                <w:szCs w:val="18"/>
                <w:color w:val="auto"/>
              </w:rPr>
              <w:t>7</w:t>
            </w:r>
          </w:p>
        </w:tc>
        <w:tc>
          <w:tcPr>
            <w:tcW w:w="3760" w:type="dxa"/>
            <w:vAlign w:val="bottom"/>
            <w:gridSpan w:val="2"/>
          </w:tcPr>
          <w:p>
            <w:pPr>
              <w:ind w:left="460"/>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4"/>
        </w:trPr>
        <w:tc>
          <w:tcPr>
            <w:tcW w:w="3600" w:type="dxa"/>
            <w:vAlign w:val="bottom"/>
          </w:tcPr>
          <w:p>
            <w:pPr>
              <w:spacing w:after="0"/>
              <w:rPr>
                <w:sz w:val="20"/>
                <w:szCs w:val="20"/>
                <w:color w:val="auto"/>
              </w:rPr>
            </w:pPr>
            <w:r>
              <w:rPr>
                <w:rFonts w:ascii="Arial" w:cs="Arial" w:eastAsia="Arial" w:hAnsi="Arial"/>
                <w:sz w:val="18"/>
                <w:szCs w:val="18"/>
                <w:b w:val="1"/>
                <w:bCs w:val="1"/>
                <w:color w:val="auto"/>
              </w:rPr>
              <w:t>IAC/InterActiveCorp</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Prepared June 7, 2005</w:t>
            </w:r>
          </w:p>
        </w:tc>
        <w:tc>
          <w:tcPr>
            <w:tcW w:w="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3760" w:type="dxa"/>
            <w:vAlign w:val="bottom"/>
            <w:gridSpan w:val="2"/>
          </w:tcPr>
          <w:p>
            <w:pPr>
              <w:jc w:val="right"/>
              <w:ind w:right="1479"/>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6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Membership: Recurring Revenues</w:t>
            </w:r>
          </w:p>
        </w:tc>
        <w:tc>
          <w:tcPr>
            <w:tcW w:w="4760" w:type="dxa"/>
            <w:vAlign w:val="bottom"/>
          </w:tcPr>
          <w:p>
            <w:pPr>
              <w:ind w:left="1900"/>
              <w:spacing w:after="0"/>
              <w:rPr>
                <w:sz w:val="20"/>
                <w:szCs w:val="20"/>
                <w:color w:val="auto"/>
              </w:rPr>
            </w:pPr>
            <w:r>
              <w:rPr>
                <w:rFonts w:ascii="Arial" w:cs="Arial" w:eastAsia="Arial" w:hAnsi="Arial"/>
                <w:sz w:val="18"/>
                <w:szCs w:val="18"/>
                <w:b w:val="1"/>
                <w:bCs w:val="1"/>
                <w:color w:val="auto"/>
              </w:rPr>
              <w:t>[Interval International Logo]</w:t>
            </w:r>
          </w:p>
        </w:tc>
      </w:tr>
      <w:tr>
        <w:trPr>
          <w:trHeight w:val="432"/>
        </w:trPr>
        <w:tc>
          <w:tcPr>
            <w:tcW w:w="6680" w:type="dxa"/>
            <w:vAlign w:val="bottom"/>
          </w:tcPr>
          <w:p>
            <w:pPr>
              <w:ind w:left="2900"/>
              <w:spacing w:after="0"/>
              <w:rPr>
                <w:sz w:val="20"/>
                <w:szCs w:val="20"/>
                <w:color w:val="auto"/>
              </w:rPr>
            </w:pPr>
            <w:r>
              <w:rPr>
                <w:rFonts w:ascii="Arial" w:cs="Arial" w:eastAsia="Arial" w:hAnsi="Arial"/>
                <w:sz w:val="18"/>
                <w:szCs w:val="18"/>
                <w:color w:val="auto"/>
                <w:w w:val="94"/>
              </w:rPr>
              <w:t>2,000+ Properties ß à [Interval International Logo]</w:t>
            </w:r>
          </w:p>
        </w:tc>
        <w:tc>
          <w:tcPr>
            <w:tcW w:w="4760" w:type="dxa"/>
            <w:vAlign w:val="bottom"/>
          </w:tcPr>
          <w:p>
            <w:pPr>
              <w:ind w:left="60"/>
              <w:spacing w:after="0"/>
              <w:rPr>
                <w:sz w:val="20"/>
                <w:szCs w:val="20"/>
                <w:color w:val="auto"/>
              </w:rPr>
            </w:pPr>
            <w:r>
              <w:rPr>
                <w:rFonts w:ascii="Arial" w:cs="Arial" w:eastAsia="Arial" w:hAnsi="Arial"/>
                <w:sz w:val="18"/>
                <w:szCs w:val="18"/>
                <w:color w:val="auto"/>
              </w:rPr>
              <w:t>ß à 1.7 million members</w:t>
            </w:r>
          </w:p>
        </w:tc>
      </w:tr>
      <w:tr>
        <w:trPr>
          <w:trHeight w:val="418"/>
        </w:trPr>
        <w:tc>
          <w:tcPr>
            <w:tcW w:w="6680" w:type="dxa"/>
            <w:vAlign w:val="bottom"/>
          </w:tcPr>
          <w:p>
            <w:pPr>
              <w:jc w:val="center"/>
              <w:ind w:right="970"/>
              <w:spacing w:after="0"/>
              <w:rPr>
                <w:sz w:val="20"/>
                <w:szCs w:val="20"/>
                <w:color w:val="auto"/>
              </w:rPr>
            </w:pPr>
            <w:r>
              <w:rPr>
                <w:rFonts w:ascii="Arial" w:cs="Arial" w:eastAsia="Arial" w:hAnsi="Arial"/>
                <w:sz w:val="18"/>
                <w:szCs w:val="18"/>
                <w:color w:val="auto"/>
                <w:w w:val="91"/>
              </w:rPr>
              <w:t>[Bar graph showing members (in 000s) in 2003</w:t>
            </w:r>
          </w:p>
        </w:tc>
        <w:tc>
          <w:tcPr>
            <w:tcW w:w="4760" w:type="dxa"/>
            <w:vAlign w:val="bottom"/>
          </w:tcPr>
          <w:p>
            <w:pPr>
              <w:jc w:val="center"/>
              <w:ind w:right="790"/>
              <w:spacing w:after="0"/>
              <w:rPr>
                <w:sz w:val="20"/>
                <w:szCs w:val="20"/>
                <w:color w:val="auto"/>
              </w:rPr>
            </w:pPr>
            <w:r>
              <w:rPr>
                <w:rFonts w:ascii="Arial" w:cs="Arial" w:eastAsia="Arial" w:hAnsi="Arial"/>
                <w:sz w:val="18"/>
                <w:szCs w:val="18"/>
                <w:color w:val="auto"/>
                <w:w w:val="91"/>
              </w:rPr>
              <w:t>[Bar graph showing the percentage of confirmations</w:t>
            </w:r>
          </w:p>
        </w:tc>
      </w:tr>
      <w:tr>
        <w:trPr>
          <w:trHeight w:val="216"/>
        </w:trPr>
        <w:tc>
          <w:tcPr>
            <w:tcW w:w="6680" w:type="dxa"/>
            <w:vAlign w:val="bottom"/>
          </w:tcPr>
          <w:p>
            <w:pPr>
              <w:jc w:val="center"/>
              <w:ind w:right="970"/>
              <w:spacing w:after="0"/>
              <w:rPr>
                <w:sz w:val="20"/>
                <w:szCs w:val="20"/>
                <w:color w:val="auto"/>
              </w:rPr>
            </w:pPr>
            <w:r>
              <w:rPr>
                <w:rFonts w:ascii="Arial" w:cs="Arial" w:eastAsia="Arial" w:hAnsi="Arial"/>
                <w:sz w:val="18"/>
                <w:szCs w:val="18"/>
                <w:color w:val="auto"/>
                <w:w w:val="91"/>
              </w:rPr>
              <w:t>(1,594), 2004 (1,696) and Q1 05 (1,717)]</w:t>
            </w:r>
          </w:p>
        </w:tc>
        <w:tc>
          <w:tcPr>
            <w:tcW w:w="4760" w:type="dxa"/>
            <w:vAlign w:val="bottom"/>
          </w:tcPr>
          <w:p>
            <w:pPr>
              <w:jc w:val="center"/>
              <w:ind w:right="790"/>
              <w:spacing w:after="0"/>
              <w:rPr>
                <w:sz w:val="20"/>
                <w:szCs w:val="20"/>
                <w:color w:val="auto"/>
              </w:rPr>
            </w:pPr>
            <w:r>
              <w:rPr>
                <w:rFonts w:ascii="Arial" w:cs="Arial" w:eastAsia="Arial" w:hAnsi="Arial"/>
                <w:sz w:val="18"/>
                <w:szCs w:val="18"/>
                <w:color w:val="auto"/>
                <w:w w:val="91"/>
              </w:rPr>
              <w:t>effected online in 2003 (14.4%), 2004 (18.5%) and</w:t>
            </w:r>
          </w:p>
        </w:tc>
      </w:tr>
      <w:tr>
        <w:trPr>
          <w:trHeight w:val="230"/>
        </w:trPr>
        <w:tc>
          <w:tcPr>
            <w:tcW w:w="6680" w:type="dxa"/>
            <w:vAlign w:val="bottom"/>
          </w:tcPr>
          <w:p>
            <w:pPr>
              <w:spacing w:after="0"/>
              <w:rPr>
                <w:sz w:val="20"/>
                <w:szCs w:val="20"/>
                <w:color w:val="auto"/>
              </w:rPr>
            </w:pPr>
          </w:p>
        </w:tc>
        <w:tc>
          <w:tcPr>
            <w:tcW w:w="4760" w:type="dxa"/>
            <w:vAlign w:val="bottom"/>
          </w:tcPr>
          <w:p>
            <w:pPr>
              <w:jc w:val="center"/>
              <w:ind w:right="770"/>
              <w:spacing w:after="0"/>
              <w:rPr>
                <w:sz w:val="20"/>
                <w:szCs w:val="20"/>
                <w:color w:val="auto"/>
              </w:rPr>
            </w:pPr>
            <w:r>
              <w:rPr>
                <w:rFonts w:ascii="Arial" w:cs="Arial" w:eastAsia="Arial" w:hAnsi="Arial"/>
                <w:sz w:val="18"/>
                <w:szCs w:val="18"/>
                <w:color w:val="auto"/>
                <w:w w:val="93"/>
              </w:rPr>
              <w:t>Q1 05 (21.0%)]</w:t>
            </w:r>
          </w:p>
        </w:tc>
      </w:tr>
      <w:tr>
        <w:trPr>
          <w:trHeight w:val="418"/>
        </w:trPr>
        <w:tc>
          <w:tcPr>
            <w:tcW w:w="6680" w:type="dxa"/>
            <w:vAlign w:val="bottom"/>
          </w:tcPr>
          <w:p>
            <w:pPr>
              <w:spacing w:after="0"/>
              <w:rPr>
                <w:sz w:val="20"/>
                <w:szCs w:val="20"/>
                <w:color w:val="auto"/>
              </w:rPr>
            </w:pPr>
            <w:r>
              <w:rPr>
                <w:rFonts w:ascii="Arial" w:cs="Arial" w:eastAsia="Arial" w:hAnsi="Arial"/>
                <w:sz w:val="18"/>
                <w:szCs w:val="18"/>
                <w:b w:val="1"/>
                <w:bCs w:val="1"/>
                <w:color w:val="auto"/>
              </w:rPr>
              <w:t>IAC/InterActiveCorp</w:t>
            </w:r>
          </w:p>
        </w:tc>
        <w:tc>
          <w:tcPr>
            <w:tcW w:w="4760" w:type="dxa"/>
            <w:vAlign w:val="bottom"/>
          </w:tcPr>
          <w:p>
            <w:pPr>
              <w:spacing w:after="0"/>
              <w:rPr>
                <w:sz w:val="24"/>
                <w:szCs w:val="24"/>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Prepared June 7, 2005</w:t>
            </w:r>
          </w:p>
        </w:tc>
        <w:tc>
          <w:tcPr>
            <w:tcW w:w="4760" w:type="dxa"/>
            <w:vAlign w:val="bottom"/>
          </w:tcPr>
          <w:p>
            <w:pPr>
              <w:spacing w:after="0"/>
              <w:rPr>
                <w:sz w:val="20"/>
                <w:szCs w:val="20"/>
                <w:color w:val="auto"/>
              </w:rPr>
            </w:pPr>
          </w:p>
        </w:tc>
      </w:tr>
      <w:tr>
        <w:trPr>
          <w:trHeight w:val="432"/>
        </w:trPr>
        <w:tc>
          <w:tcPr>
            <w:tcW w:w="6680" w:type="dxa"/>
            <w:vAlign w:val="bottom"/>
          </w:tcPr>
          <w:p>
            <w:pPr>
              <w:ind w:left="5620"/>
              <w:spacing w:after="0"/>
              <w:rPr>
                <w:sz w:val="20"/>
                <w:szCs w:val="20"/>
                <w:color w:val="auto"/>
              </w:rPr>
            </w:pPr>
            <w:r>
              <w:rPr>
                <w:rFonts w:ascii="Arial" w:cs="Arial" w:eastAsia="Arial" w:hAnsi="Arial"/>
                <w:sz w:val="18"/>
                <w:szCs w:val="18"/>
                <w:color w:val="auto"/>
              </w:rPr>
              <w:t>12</w:t>
            </w:r>
          </w:p>
        </w:tc>
        <w:tc>
          <w:tcPr>
            <w:tcW w:w="4760" w:type="dxa"/>
            <w:vAlign w:val="bottom"/>
          </w:tcPr>
          <w:p>
            <w:pPr>
              <w:spacing w:after="0"/>
              <w:rPr>
                <w:sz w:val="24"/>
                <w:szCs w:val="24"/>
                <w:color w:val="auto"/>
              </w:rPr>
            </w:pPr>
          </w:p>
        </w:tc>
      </w:tr>
      <w:tr>
        <w:trPr>
          <w:trHeight w:val="105"/>
        </w:trPr>
        <w:tc>
          <w:tcPr>
            <w:tcW w:w="6680" w:type="dxa"/>
            <w:vAlign w:val="bottom"/>
            <w:tcBorders>
              <w:bottom w:val="single" w:sz="8" w:color="808080"/>
            </w:tcBorders>
          </w:tcPr>
          <w:p>
            <w:pPr>
              <w:spacing w:after="0"/>
              <w:rPr>
                <w:sz w:val="9"/>
                <w:szCs w:val="9"/>
                <w:color w:val="auto"/>
              </w:rPr>
            </w:pPr>
          </w:p>
        </w:tc>
        <w:tc>
          <w:tcPr>
            <w:tcW w:w="47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0" w:right="219" w:bottom="184"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Ask Jeeves Share U.S.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Ask Jeeves acquisition is pending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[Ask Jeeves Logo]</w:t>
      </w:r>
    </w:p>
    <w:p>
      <w:pPr>
        <w:spacing w:after="0" w:line="445" w:lineRule="exact"/>
        <w:rPr>
          <w:sz w:val="20"/>
          <w:szCs w:val="20"/>
          <w:color w:val="auto"/>
        </w:rPr>
      </w:pPr>
    </w:p>
    <w:p>
      <w:pPr>
        <w:sectPr>
          <w:pgSz w:w="11900" w:h="16838" w:orient="portrait"/>
          <w:cols w:equalWidth="0" w:num="2">
            <w:col w:w="8280" w:space="720"/>
            <w:col w:w="2440"/>
          </w:cols>
          <w:pgMar w:left="240" w:top="580" w:right="219" w:bottom="184" w:gutter="0" w:footer="0" w:header="0"/>
          <w:type w:val="continuous"/>
        </w:sectPr>
      </w:pPr>
    </w:p>
    <w:p>
      <w:pPr>
        <w:spacing w:after="0" w:line="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[Bar graph showing the respective percentage shares of each of Google (35.9% &amp; 36.4%), Yahoo! (30.0% &amp; 30.6%), MSN (15.7% &amp; 16.5%), AOL (13.4% &amp; 8.9%) and Ask Jeeves (1.8% &amp; 5.5%) of the search market as of March 2004 and March 2005, respectively.]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IAC/InterActiveCorp</w:t>
            </w:r>
          </w:p>
        </w:tc>
        <w:tc>
          <w:tcPr>
            <w:tcW w:w="8340" w:type="dxa"/>
            <w:vAlign w:val="bottom"/>
            <w:gridSpan w:val="5"/>
          </w:tcPr>
          <w:p>
            <w:pPr>
              <w:ind w:left="200"/>
              <w:spacing w:after="0"/>
              <w:rPr>
                <w:sz w:val="20"/>
                <w:szCs w:val="20"/>
                <w:color w:val="auto"/>
              </w:rPr>
            </w:pPr>
            <w:r>
              <w:rPr>
                <w:rFonts w:ascii="Arial" w:cs="Arial" w:eastAsia="Arial" w:hAnsi="Arial"/>
                <w:sz w:val="18"/>
                <w:szCs w:val="18"/>
                <w:i w:val="1"/>
                <w:iCs w:val="1"/>
                <w:color w:val="auto"/>
              </w:rPr>
              <w:t>Source: ComScore qSearch, March 2005. 3/04 comScore numbers do not include ISH properties.</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Prepared June 7, 2005</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20" w:type="dxa"/>
            <w:vAlign w:val="bottom"/>
            <w:gridSpan w:val="3"/>
          </w:tcPr>
          <w:p>
            <w:pPr>
              <w:jc w:val="right"/>
              <w:ind w:right="5419"/>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3100" w:type="dxa"/>
            <w:vAlign w:val="bottom"/>
            <w:tcBorders>
              <w:bottom w:val="single" w:sz="8" w:color="808080"/>
            </w:tcBorders>
            <w:gridSpan w:val="2"/>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62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r>
        <w:trPr>
          <w:trHeight w:val="767"/>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w w:val="98"/>
              </w:rPr>
              <w:t>Media: Ask Jeeves Integration w/IAC</w:t>
            </w: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40" w:type="dxa"/>
            <w:vAlign w:val="bottom"/>
            <w:gridSpan w:val="3"/>
          </w:tcPr>
          <w:p>
            <w:pPr>
              <w:ind w:left="3900"/>
              <w:spacing w:after="0"/>
              <w:rPr>
                <w:sz w:val="20"/>
                <w:szCs w:val="20"/>
                <w:color w:val="auto"/>
              </w:rPr>
            </w:pPr>
            <w:r>
              <w:rPr>
                <w:rFonts w:ascii="Arial" w:cs="Arial" w:eastAsia="Arial" w:hAnsi="Arial"/>
                <w:sz w:val="18"/>
                <w:szCs w:val="18"/>
                <w:b w:val="1"/>
                <w:bCs w:val="1"/>
                <w:color w:val="auto"/>
              </w:rPr>
              <w:t>[Ask Jeeves Logo]</w:t>
            </w:r>
          </w:p>
        </w:tc>
      </w:tr>
      <w:tr>
        <w:trPr>
          <w:trHeight w:val="311"/>
        </w:trPr>
        <w:tc>
          <w:tcPr>
            <w:tcW w:w="3100" w:type="dxa"/>
            <w:vAlign w:val="bottom"/>
            <w:gridSpan w:val="2"/>
          </w:tcPr>
          <w:p>
            <w:pPr>
              <w:spacing w:after="0"/>
              <w:rPr>
                <w:sz w:val="20"/>
                <w:szCs w:val="20"/>
                <w:color w:val="auto"/>
              </w:rPr>
            </w:pPr>
            <w:r>
              <w:rPr>
                <w:rFonts w:ascii="Arial" w:cs="Arial" w:eastAsia="Arial" w:hAnsi="Arial"/>
                <w:sz w:val="18"/>
                <w:szCs w:val="18"/>
                <w:i w:val="1"/>
                <w:iCs w:val="1"/>
                <w:color w:val="auto"/>
              </w:rPr>
              <w:t>Ask Jeeves acquisition is pending</w:t>
            </w: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3100" w:type="dxa"/>
            <w:vAlign w:val="bottom"/>
            <w:gridSpan w:val="2"/>
          </w:tcPr>
          <w:p>
            <w:pPr>
              <w:spacing w:after="0"/>
              <w:rPr>
                <w:sz w:val="20"/>
                <w:szCs w:val="20"/>
                <w:color w:val="auto"/>
              </w:rPr>
            </w:pPr>
            <w:r>
              <w:rPr>
                <w:rFonts w:ascii="Arial" w:cs="Arial" w:eastAsia="Arial" w:hAnsi="Arial"/>
                <w:sz w:val="18"/>
                <w:szCs w:val="18"/>
                <w:color w:val="auto"/>
              </w:rPr>
              <w:t>“First 100 Days” Plan</w:t>
            </w: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Goals</w:t>
            </w: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40" w:type="dxa"/>
            <w:vAlign w:val="bottom"/>
            <w:gridSpan w:val="3"/>
          </w:tcPr>
          <w:p>
            <w:pPr>
              <w:ind w:left="2760"/>
              <w:spacing w:after="0"/>
              <w:rPr>
                <w:sz w:val="20"/>
                <w:szCs w:val="20"/>
                <w:color w:val="auto"/>
              </w:rPr>
            </w:pPr>
            <w:r>
              <w:rPr>
                <w:rFonts w:ascii="Arial" w:cs="Arial" w:eastAsia="Arial" w:hAnsi="Arial"/>
                <w:sz w:val="14"/>
                <w:szCs w:val="14"/>
                <w:b w:val="1"/>
                <w:bCs w:val="1"/>
                <w:color w:val="auto"/>
              </w:rPr>
              <w:t>Description</w:t>
            </w:r>
          </w:p>
        </w:tc>
      </w:tr>
      <w:tr>
        <w:trPr>
          <w:trHeight w:val="215"/>
        </w:trPr>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1.</w:t>
            </w:r>
          </w:p>
        </w:tc>
        <w:tc>
          <w:tcPr>
            <w:tcW w:w="2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Increase share</w:t>
            </w:r>
          </w:p>
        </w:tc>
        <w:tc>
          <w:tcPr>
            <w:tcW w:w="1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2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Add search box to IAC sites</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65"/>
        </w:trPr>
        <w:tc>
          <w:tcPr>
            <w:tcW w:w="160" w:type="dxa"/>
            <w:vAlign w:val="bottom"/>
            <w:shd w:val="clear" w:color="auto" w:fill="CCEEFF"/>
          </w:tcPr>
          <w:p>
            <w:pPr>
              <w:spacing w:after="0"/>
              <w:rPr>
                <w:sz w:val="23"/>
                <w:szCs w:val="23"/>
                <w:color w:val="auto"/>
              </w:rPr>
            </w:pPr>
          </w:p>
        </w:tc>
        <w:tc>
          <w:tcPr>
            <w:tcW w:w="29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Sign more distribution partners</w:t>
            </w:r>
          </w:p>
        </w:tc>
        <w:tc>
          <w:tcPr>
            <w:tcW w:w="20" w:type="dxa"/>
            <w:vAlign w:val="bottom"/>
          </w:tcPr>
          <w:p>
            <w:pPr>
              <w:spacing w:after="0"/>
              <w:rPr>
                <w:sz w:val="23"/>
                <w:szCs w:val="23"/>
                <w:color w:val="auto"/>
              </w:rPr>
            </w:pPr>
          </w:p>
        </w:tc>
      </w:tr>
      <w:tr>
        <w:trPr>
          <w:trHeight w:val="243"/>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2940" w:type="dxa"/>
            <w:vAlign w:val="bottom"/>
          </w:tcPr>
          <w:p>
            <w:pPr>
              <w:ind w:left="20"/>
              <w:spacing w:after="0"/>
              <w:rPr>
                <w:sz w:val="20"/>
                <w:szCs w:val="20"/>
                <w:color w:val="auto"/>
              </w:rPr>
            </w:pPr>
            <w:r>
              <w:rPr>
                <w:rFonts w:ascii="Arial" w:cs="Arial" w:eastAsia="Arial" w:hAnsi="Arial"/>
                <w:sz w:val="18"/>
                <w:szCs w:val="18"/>
                <w:color w:val="auto"/>
              </w:rPr>
              <w:t>Create best local search engine</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320" w:type="dxa"/>
            <w:vAlign w:val="bottom"/>
            <w:gridSpan w:val="2"/>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Integrate local content and merchants</w:t>
            </w:r>
          </w:p>
        </w:tc>
        <w:tc>
          <w:tcPr>
            <w:tcW w:w="20" w:type="dxa"/>
            <w:vAlign w:val="bottom"/>
          </w:tcPr>
          <w:p>
            <w:pPr>
              <w:spacing w:after="0"/>
              <w:rPr>
                <w:sz w:val="21"/>
                <w:szCs w:val="21"/>
                <w:color w:val="auto"/>
              </w:rPr>
            </w:pPr>
          </w:p>
        </w:tc>
      </w:tr>
      <w:tr>
        <w:trPr>
          <w:trHeight w:val="222"/>
        </w:trPr>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3.</w:t>
            </w: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 Travel deal</w:t>
            </w: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spacing w:after="0" w:line="222" w:lineRule="exact"/>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Distribute search on Expedia</w:t>
            </w:r>
          </w:p>
        </w:tc>
        <w:tc>
          <w:tcPr>
            <w:tcW w:w="20" w:type="dxa"/>
            <w:vAlign w:val="bottom"/>
          </w:tcPr>
          <w:p>
            <w:pPr>
              <w:spacing w:after="0"/>
              <w:rPr>
                <w:sz w:val="19"/>
                <w:szCs w:val="19"/>
                <w:color w:val="auto"/>
              </w:rPr>
            </w:pPr>
          </w:p>
        </w:tc>
      </w:tr>
      <w:tr>
        <w:trPr>
          <w:trHeight w:val="265"/>
        </w:trPr>
        <w:tc>
          <w:tcPr>
            <w:tcW w:w="160" w:type="dxa"/>
            <w:vAlign w:val="bottom"/>
            <w:shd w:val="clear" w:color="auto" w:fill="CCEEFF"/>
          </w:tcPr>
          <w:p>
            <w:pPr>
              <w:spacing w:after="0"/>
              <w:rPr>
                <w:sz w:val="23"/>
                <w:szCs w:val="23"/>
                <w:color w:val="auto"/>
              </w:rPr>
            </w:pPr>
          </w:p>
        </w:tc>
        <w:tc>
          <w:tcPr>
            <w:tcW w:w="29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Integrate Expedia content on Ask Jeeves</w:t>
            </w:r>
          </w:p>
        </w:tc>
        <w:tc>
          <w:tcPr>
            <w:tcW w:w="20" w:type="dxa"/>
            <w:vAlign w:val="bottom"/>
          </w:tcPr>
          <w:p>
            <w:pPr>
              <w:spacing w:after="0"/>
              <w:rPr>
                <w:sz w:val="23"/>
                <w:szCs w:val="23"/>
                <w:color w:val="auto"/>
              </w:rPr>
            </w:pPr>
          </w:p>
        </w:tc>
      </w:tr>
      <w:tr>
        <w:trPr>
          <w:trHeight w:val="243"/>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2940" w:type="dxa"/>
            <w:vAlign w:val="bottom"/>
          </w:tcPr>
          <w:p>
            <w:pPr>
              <w:ind w:left="20"/>
              <w:spacing w:after="0"/>
              <w:rPr>
                <w:sz w:val="20"/>
                <w:szCs w:val="20"/>
                <w:color w:val="auto"/>
              </w:rPr>
            </w:pPr>
            <w:r>
              <w:rPr>
                <w:rFonts w:ascii="Arial" w:cs="Arial" w:eastAsia="Arial" w:hAnsi="Arial"/>
                <w:sz w:val="18"/>
                <w:szCs w:val="18"/>
                <w:color w:val="auto"/>
              </w:rPr>
              <w:t>Branding</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320" w:type="dxa"/>
            <w:vAlign w:val="bottom"/>
            <w:gridSpan w:val="2"/>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Investment in marketing</w:t>
            </w:r>
          </w:p>
        </w:tc>
        <w:tc>
          <w:tcPr>
            <w:tcW w:w="20" w:type="dxa"/>
            <w:vAlign w:val="bottom"/>
          </w:tcPr>
          <w:p>
            <w:pPr>
              <w:spacing w:after="0"/>
              <w:rPr>
                <w:sz w:val="21"/>
                <w:szCs w:val="21"/>
                <w:color w:val="auto"/>
              </w:rPr>
            </w:pPr>
          </w:p>
        </w:tc>
      </w:tr>
      <w:tr>
        <w:trPr>
          <w:trHeight w:val="222"/>
        </w:trPr>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5.</w:t>
            </w: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Feature differentiation</w:t>
            </w: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spacing w:after="0" w:line="222" w:lineRule="exact"/>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Investment in technology and team</w:t>
            </w:r>
          </w:p>
        </w:tc>
        <w:tc>
          <w:tcPr>
            <w:tcW w:w="20" w:type="dxa"/>
            <w:vAlign w:val="bottom"/>
          </w:tcPr>
          <w:p>
            <w:pPr>
              <w:spacing w:after="0"/>
              <w:rPr>
                <w:sz w:val="19"/>
                <w:szCs w:val="19"/>
                <w:color w:val="auto"/>
              </w:rPr>
            </w:pPr>
          </w:p>
        </w:tc>
      </w:tr>
      <w:tr>
        <w:trPr>
          <w:trHeight w:val="265"/>
        </w:trPr>
        <w:tc>
          <w:tcPr>
            <w:tcW w:w="160" w:type="dxa"/>
            <w:vAlign w:val="bottom"/>
            <w:shd w:val="clear" w:color="auto" w:fill="CCEEFF"/>
          </w:tcPr>
          <w:p>
            <w:pPr>
              <w:spacing w:after="0"/>
              <w:rPr>
                <w:sz w:val="23"/>
                <w:szCs w:val="23"/>
                <w:color w:val="auto"/>
              </w:rPr>
            </w:pPr>
          </w:p>
        </w:tc>
        <w:tc>
          <w:tcPr>
            <w:tcW w:w="29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Refine product roadmap for differentiation</w:t>
            </w:r>
          </w:p>
        </w:tc>
        <w:tc>
          <w:tcPr>
            <w:tcW w:w="20" w:type="dxa"/>
            <w:vAlign w:val="bottom"/>
          </w:tcPr>
          <w:p>
            <w:pPr>
              <w:spacing w:after="0"/>
              <w:rPr>
                <w:sz w:val="23"/>
                <w:szCs w:val="23"/>
                <w:color w:val="auto"/>
              </w:rPr>
            </w:pP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IAC/InterActiveCorp</w:t>
            </w: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Prepared June 7, 2005</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20" w:type="dxa"/>
            <w:vAlign w:val="bottom"/>
            <w:gridSpan w:val="3"/>
          </w:tcPr>
          <w:p>
            <w:pPr>
              <w:jc w:val="right"/>
              <w:ind w:right="5419"/>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100" w:type="dxa"/>
            <w:vAlign w:val="bottom"/>
            <w:tcBorders>
              <w:bottom w:val="single" w:sz="8" w:color="808080"/>
            </w:tcBorders>
            <w:gridSpan w:val="2"/>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340" w:type="dxa"/>
            <w:vAlign w:val="bottom"/>
            <w:tcBorders>
              <w:bottom w:val="single" w:sz="8" w:color="808080"/>
            </w:tcBorders>
            <w:gridSpan w:val="3"/>
          </w:tcPr>
          <w:p>
            <w:pPr>
              <w:spacing w:after="0"/>
              <w:rPr>
                <w:sz w:val="9"/>
                <w:szCs w:val="9"/>
                <w:color w:val="auto"/>
              </w:rPr>
            </w:pPr>
          </w:p>
        </w:tc>
      </w:tr>
      <w:tr>
        <w:trPr>
          <w:trHeight w:val="753"/>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w w:val="98"/>
              </w:rPr>
              <w:t>Example: Local Content with Search</w:t>
            </w: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40" w:type="dxa"/>
            <w:vAlign w:val="bottom"/>
            <w:gridSpan w:val="3"/>
          </w:tcPr>
          <w:p>
            <w:pPr>
              <w:ind w:left="3900"/>
              <w:spacing w:after="0"/>
              <w:rPr>
                <w:sz w:val="20"/>
                <w:szCs w:val="20"/>
                <w:color w:val="auto"/>
              </w:rPr>
            </w:pPr>
            <w:r>
              <w:rPr>
                <w:rFonts w:ascii="Arial" w:cs="Arial" w:eastAsia="Arial" w:hAnsi="Arial"/>
                <w:sz w:val="18"/>
                <w:szCs w:val="18"/>
                <w:b w:val="1"/>
                <w:bCs w:val="1"/>
                <w:color w:val="auto"/>
              </w:rPr>
              <w:t>[Ask Jeeves Logo]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-3613785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-3613785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-492760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0" w:right="219" w:bottom="184" w:gutter="0" w:footer="0" w:header="0"/>
          <w:type w:val="continuous"/>
        </w:sectPr>
      </w:pPr>
    </w:p>
    <w:bookmarkStart w:id="6" w:name="page7"/>
    <w:bookmarkEnd w:id="6"/>
    <w:p>
      <w:pPr>
        <w:spacing w:after="0" w:line="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[Sample Ask Search results, based on a search for “New York restaurants,” which generated rich Citysearch local content (New &amp; Notable, CS Featured, Top Searches and Editors’ Picks) and Ask sponsored and algorithmic search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IAC/InterActiveCorp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Prepared June 7, 2005</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b w:val="1"/>
          <w:bCs w:val="1"/>
          <w:color w:val="auto"/>
        </w:rPr>
        <w:t>Example: Transactional Search</w:t>
      </w:r>
      <w:r>
        <w:rPr>
          <w:sz w:val="20"/>
          <w:szCs w:val="20"/>
          <w:color w:val="auto"/>
        </w:rPr>
        <w:tab/>
      </w:r>
      <w:r>
        <w:rPr>
          <w:rFonts w:ascii="Arial" w:cs="Arial" w:eastAsia="Arial" w:hAnsi="Arial"/>
          <w:sz w:val="15"/>
          <w:szCs w:val="15"/>
          <w:b w:val="1"/>
          <w:bCs w:val="1"/>
          <w:color w:val="auto"/>
        </w:rPr>
        <w:t>[Ask Jeeves Logo]</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[Sample Ask Search results, based on a search for “Prince tickets,” which generated Ticketmaster content and transactions (General, link to fan website, buy tickets) and Ask news and sponsored and algorithmic search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IAC/InterActiveCorp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Prepared June 7, 2005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3540" w:type="dxa"/>
            <w:vAlign w:val="bottom"/>
          </w:tcPr>
          <w:p>
            <w:pPr>
              <w:jc w:val="right"/>
              <w:ind w:right="1774"/>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105"/>
        </w:trPr>
        <w:tc>
          <w:tcPr>
            <w:tcW w:w="4120" w:type="dxa"/>
            <w:vAlign w:val="bottom"/>
            <w:tcBorders>
              <w:bottom w:val="single" w:sz="8" w:color="808080"/>
            </w:tcBorders>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r>
      <w:tr>
        <w:trPr>
          <w:trHeight w:val="767"/>
        </w:trPr>
        <w:tc>
          <w:tcPr>
            <w:tcW w:w="4120" w:type="dxa"/>
            <w:vAlign w:val="bottom"/>
          </w:tcPr>
          <w:p>
            <w:pPr>
              <w:spacing w:after="0"/>
              <w:rPr>
                <w:sz w:val="20"/>
                <w:szCs w:val="20"/>
                <w:color w:val="auto"/>
              </w:rPr>
            </w:pPr>
            <w:r>
              <w:rPr>
                <w:rFonts w:ascii="Arial" w:cs="Arial" w:eastAsia="Arial" w:hAnsi="Arial"/>
                <w:sz w:val="18"/>
                <w:szCs w:val="18"/>
                <w:b w:val="1"/>
                <w:bCs w:val="1"/>
                <w:color w:val="auto"/>
              </w:rPr>
              <w:t>Sale of VUE Securities</w:t>
            </w:r>
          </w:p>
        </w:tc>
        <w:tc>
          <w:tcPr>
            <w:tcW w:w="3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5"/>
        </w:trPr>
        <w:tc>
          <w:tcPr>
            <w:tcW w:w="4120" w:type="dxa"/>
            <w:vAlign w:val="bottom"/>
          </w:tcPr>
          <w:p>
            <w:pPr>
              <w:spacing w:after="0"/>
              <w:rPr>
                <w:sz w:val="24"/>
                <w:szCs w:val="24"/>
                <w:color w:val="auto"/>
              </w:rPr>
            </w:pPr>
          </w:p>
        </w:tc>
        <w:tc>
          <w:tcPr>
            <w:tcW w:w="39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billions</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received</w:t>
            </w:r>
          </w:p>
        </w:tc>
        <w:tc>
          <w:tcPr>
            <w:tcW w:w="35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56.6mm IAC shares retired @ FMV</w:t>
            </w: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23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Media credits on NBC-U over 3 yrs</w:t>
            </w:r>
          </w:p>
        </w:tc>
        <w:tc>
          <w:tcPr>
            <w:tcW w:w="3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230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consideration</w:t>
            </w:r>
          </w:p>
        </w:tc>
        <w:tc>
          <w:tcPr>
            <w:tcW w:w="39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w:t>
            </w:r>
          </w:p>
        </w:tc>
        <w:tc>
          <w:tcPr>
            <w:tcW w:w="23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Estimated tax impact</w:t>
            </w:r>
          </w:p>
        </w:tc>
        <w:tc>
          <w:tcPr>
            <w:tcW w:w="3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230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Net value</w:t>
            </w:r>
          </w:p>
        </w:tc>
        <w:tc>
          <w:tcPr>
            <w:tcW w:w="39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w:t>
            </w:r>
          </w:p>
        </w:tc>
        <w:tc>
          <w:tcPr>
            <w:tcW w:w="2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-1576070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-1576070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IAC/InterActiveCorp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Prepared June 7, 2005</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 Harbor Statement Under The Private Securities Litigation Reform Act of 1995</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This presentation contains “forward-looking statements” within the meaning of the Private Securities Litigation Reform Act of 1995. These forward-looking statements include statements relating to anticipated financial performance, business prospects, new developments, pending transactions and similar matters, and/or statements that use words such as “anticipates,” “estimates,” “expects,” “intends,” “believes” and similar expressions. These forward-looking statements are necessarily estimates reflecting the best judgment of IAC’s senior management, and involve a number of risks and uncertainties that could cause actual results to differ materially from those suggested by the forward-looking statements. These risks and uncertainties are described in IAC’s and Ask Jeeves’ filings with the U.S. Securities and Exchange Commission (the “SEC”), including their respective Annual Reports on Form 10-K for the fiscal year ended 2004, Quarterly Reports on Form 10-Q and Current Reports on Form 8-K. Other unknown or unpredictable factors also could have material adverse effects on IAC’s future results, performance or achievements. In light of these risks and uncertainties, the forward-looking events discussed in this presentation may not occur. You are cautioned not to place undue reliance on these forward-looking statements, which speak only as of the date stated, or if no date is stated, as of the date of this presentation.</w:t>
      </w:r>
    </w:p>
    <w:p>
      <w:pPr>
        <w:spacing w:after="0" w:line="16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IAC is not under any obligation and does not intend to make publicly available any update or other revisions to any of the forward-looking statements contained in this presentation to reflect circumstances existing after the date of this presentation or to reflect the occurrence of future events even if experience or future events make it clear that any expected results expressed or implied by those forward-looking statements will not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In connection with the proposed spin-off, IAC has filed a preliminary proxy statement/prospectus with the SEC. Stockholders of IAC are urged to read the definitive proxy statement/prospectus, when it becomes available, because it will contain important information about IAC, the proposed spin-off transaction and related matters. Investors and security holders can obtain free copies of the definitive proxy statement/prospectus when it becomes available by contacting Investor Relations, IAC/InterActiveCorp, Carnegie Hall Tower, 152 W. 57th Street, 42nd Floor, New York, NY 10019 (Telephone: (212) 314-7400). Investors and security holders can also obtain free copies of the proxy statement/prospectus and other documents filed by IAC and Expedia with the SEC in connection with the proposed spin-off transaction at the SEC’s web site at www.sec.gov. In addition to the proxy statement, IAC files annual, quarterly and current reports, proxy statements and other information with the SEC, each of which should be available at the SEC’s web site at www.sec.gov. You may also read and copy any reports, statements and other information filed by IAC at the SEC public reference room at 450 Fifth Street, N.W., Washington, D.C. 20549. Please call the SEC at 1-800-SEC-0330 for further information. IAC and its directors, executive officers and certain members of management and other employees may be deemed to be participants in the solicitation of proxies of IAC’s stockholders to approve the proposed spin-off transaction. Such individuals may have interests in the transaction as described herein, including as a result of current holdings of options or shares of IAC’s stock and future holdings of options or shares of Expedia’s stock, which will be impacted in the transaction. Information regarding IAC and the equity interests of its directors and officers who may be deemed to be participants in the solicitation of proxies is contained in IAC’s preliminary proxy statement/prospectus, filed with the SEC on April 25, 2005.</w:t>
      </w:r>
    </w:p>
    <w:p>
      <w:pPr>
        <w:spacing w:after="0" w:line="172"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In connection with its previously announced, pending acquisition of Ask Jeeves, Inc. (“Ask Jeeves”), IAC has filed a registration statement with the SEC that includes a preliminary combined proxy statement/prospectus of Ask Jeeves and IAC and other relevant documents. Ask Jeeves</w:t>
      </w:r>
    </w:p>
    <w:p>
      <w:pPr>
        <w:sectPr>
          <w:pgSz w:w="11900" w:h="16844" w:orient="portrait"/>
          <w:cols w:equalWidth="0" w:num="1">
            <w:col w:w="11440"/>
          </w:cols>
          <w:pgMar w:left="240" w:top="125" w:right="219" w:bottom="0" w:gutter="0" w:footer="0" w:header="0"/>
        </w:sectPr>
      </w:pPr>
    </w:p>
    <w:bookmarkStart w:id="7" w:name="page8"/>
    <w:bookmarkEnd w:id="7"/>
    <w:p>
      <w:pPr>
        <w:spacing w:after="0" w:line="289" w:lineRule="auto"/>
        <w:rPr>
          <w:sz w:val="20"/>
          <w:szCs w:val="20"/>
          <w:color w:val="auto"/>
        </w:rPr>
      </w:pPr>
      <w:r>
        <w:rPr>
          <w:rFonts w:ascii="Arial" w:cs="Arial" w:eastAsia="Arial" w:hAnsi="Arial"/>
          <w:sz w:val="16"/>
          <w:szCs w:val="16"/>
          <w:b w:val="1"/>
          <w:bCs w:val="1"/>
          <w:color w:val="auto"/>
        </w:rPr>
        <w:t>stockholders should read the definitive proxy statement/prospectus and other relevant materials when they become available, because they will contain important information about Ask Jeeves, IAC and the proposed merger. In addition to the documents described above, Ask Jeeves and IAC file annual, quarterly and current reports, proxy statements and other information with the SEC. The proxy statement/prospectus and other relevant materials (when they become available), and any other documents filed with the SEC by Ask Jeeves or IAC are available without charge at the SEC’s website at www.sec.gov, or from the companies’ websites, at www.ask.com and www.iac.com, respectively. Ask Jeeves, IAC and their respective officers and directors may be deemed to be participants in the solicitation of proxies from Ask Jeeves stockholders in connection with the proposed merger. A description of certain interests of the directors and executive officers of Ask Jeeves and a description of certain interests of the directors and executive officers of IAC is set forth in the preliminary combined proxy statement/prospectus, which was filed with the SEC on April 26, 2005. Additional information regarding the interests of such potential participants will be included in the definitive proxy statement/prospectus and other relevant documents to be filed with the SEC in connection with the proposed merger.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IAC/InterActiveCorp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Prepared June 7, 2005</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IAC/InterActiveCorp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2019-12-13T22:56:35Z</dcterms:created>
  <dcterms:modified xsi:type="dcterms:W3CDTF">2019-12-13T22:56:35Z</dcterms:modified>
</cp:coreProperties>
</file>