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40" w:type="dxa"/>
        <w:tblCellMar>
          <w:top w:w="0" w:type="dxa"/>
          <w:left w:w="0" w:type="dxa"/>
          <w:bottom w:w="0" w:type="dxa"/>
          <w:right w:w="0" w:type="dxa"/>
        </w:tblCellMar>
      </w:tblPr>
      <w:tr>
        <w:trPr>
          <w:trHeight w:val="29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jc w:val="center"/>
              <w:ind w:right="860"/>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40" w:type="dxa"/>
            <w:vAlign w:val="bottom"/>
            <w:gridSpan w:val="8"/>
          </w:tcPr>
          <w:p>
            <w:pPr>
              <w:jc w:val="center"/>
              <w:ind w:right="17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86"/>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jc w:val="center"/>
              <w:ind w:right="84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jc w:val="center"/>
              <w:ind w:right="860"/>
              <w:spacing w:after="0"/>
              <w:rPr>
                <w:sz w:val="20"/>
                <w:szCs w:val="20"/>
                <w:color w:val="auto"/>
              </w:rPr>
            </w:pPr>
            <w:r>
              <w:rPr>
                <w:rFonts w:ascii="Times New Roman" w:cs="Times New Roman" w:eastAsia="Times New Roman" w:hAnsi="Times New Roman"/>
                <w:sz w:val="22"/>
                <w:szCs w:val="22"/>
                <w:b w:val="1"/>
                <w:bCs w:val="1"/>
                <w:color w:val="auto"/>
                <w:w w:val="97"/>
              </w:rPr>
              <w:t>FORM 10-Q</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1120" w:type="dxa"/>
            <w:vAlign w:val="bottom"/>
          </w:tcPr>
          <w:p>
            <w:pPr>
              <w:spacing w:after="0"/>
              <w:rPr>
                <w:sz w:val="9"/>
                <w:szCs w:val="9"/>
                <w:color w:val="auto"/>
              </w:rPr>
            </w:pPr>
          </w:p>
        </w:tc>
        <w:tc>
          <w:tcPr>
            <w:tcW w:w="216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2"/>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3"/>
        </w:trPr>
        <w:tc>
          <w:tcPr>
            <w:tcW w:w="620" w:type="dxa"/>
            <w:vAlign w:val="bottom"/>
            <w:vMerge w:val="continue"/>
          </w:tcPr>
          <w:p>
            <w:pPr>
              <w:spacing w:after="0"/>
              <w:rPr>
                <w:sz w:val="24"/>
                <w:szCs w:val="24"/>
                <w:color w:val="auto"/>
              </w:rPr>
            </w:pPr>
          </w:p>
        </w:tc>
        <w:tc>
          <w:tcPr>
            <w:tcW w:w="10560" w:type="dxa"/>
            <w:vAlign w:val="bottom"/>
            <w:gridSpan w:val="9"/>
          </w:tcPr>
          <w:p>
            <w:pPr>
              <w:ind w:left="102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Or</w:t>
            </w: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20" w:type="dxa"/>
            <w:vAlign w:val="bottom"/>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0560" w:type="dxa"/>
            <w:vAlign w:val="bottom"/>
            <w:gridSpan w:val="9"/>
          </w:tcPr>
          <w:p>
            <w:pPr>
              <w:ind w:left="10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60" w:type="dxa"/>
            <w:vAlign w:val="bottom"/>
            <w:gridSpan w:val="6"/>
          </w:tcPr>
          <w:p>
            <w:pPr>
              <w:ind w:left="1220"/>
              <w:spacing w:after="0"/>
              <w:rPr>
                <w:sz w:val="20"/>
                <w:szCs w:val="20"/>
                <w:color w:val="auto"/>
              </w:rPr>
            </w:pPr>
            <w:r>
              <w:rPr>
                <w:rFonts w:ascii="Times New Roman" w:cs="Times New Roman" w:eastAsia="Times New Roman" w:hAnsi="Times New Roman"/>
                <w:sz w:val="17"/>
                <w:szCs w:val="17"/>
                <w:b w:val="1"/>
                <w:bCs w:val="1"/>
                <w:color w:val="auto"/>
              </w:rPr>
              <w:t>For the transition period from__________to__________</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Commission File No. 001-39356</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jc w:val="center"/>
              <w:ind w:right="860"/>
              <w:spacing w:after="0"/>
              <w:rPr>
                <w:sz w:val="20"/>
                <w:szCs w:val="20"/>
                <w:color w:val="auto"/>
              </w:rPr>
            </w:pPr>
            <w:r>
              <w:rPr>
                <w:rFonts w:ascii="Times New Roman" w:cs="Times New Roman" w:eastAsia="Times New Roman" w:hAnsi="Times New Roman"/>
                <w:sz w:val="22"/>
                <w:szCs w:val="22"/>
                <w:b w:val="1"/>
                <w:bCs w:val="1"/>
                <w:color w:val="auto"/>
                <w:w w:val="97"/>
              </w:rPr>
              <w:t>People Incorporated</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84-3727412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gridSpan w:val="2"/>
          </w:tcPr>
          <w:p>
            <w:pPr>
              <w:jc w:val="center"/>
              <w:ind w:right="1960"/>
              <w:spacing w:after="0" w:line="168"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2"/>
          </w:tcPr>
          <w:p>
            <w:pPr>
              <w:jc w:val="center"/>
              <w:ind w:right="1960"/>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343"/>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555 West 18th Street, New York, New York 10011</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(Address of registrant’s principal executive offices)</w:t>
            </w:r>
          </w:p>
        </w:tc>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0" w:type="dxa"/>
            <w:vAlign w:val="bottom"/>
            <w:gridSpan w:val="3"/>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rPr>
              <w:t>(212) 314-7300</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20" w:type="dxa"/>
            <w:vAlign w:val="bottom"/>
            <w:gridSpan w:val="2"/>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2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2"/>
          </w:tcPr>
          <w:p>
            <w:pPr>
              <w:jc w:val="center"/>
              <w:ind w:right="369"/>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1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PPLI</w:t>
            </w:r>
          </w:p>
        </w:tc>
        <w:tc>
          <w:tcPr>
            <w:tcW w:w="5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56" w:lineRule="exact"/>
        <w:rPr>
          <w:sz w:val="24"/>
          <w:szCs w:val="24"/>
          <w:color w:val="auto"/>
        </w:rPr>
      </w:pPr>
    </w:p>
    <w:p>
      <w:pPr>
        <w:ind w:right="140" w:firstLine="486"/>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486"/>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60" w:firstLine="486"/>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p>
      <w:pPr>
        <w:ind w:left="280"/>
        <w:spacing w:after="0" w:line="161" w:lineRule="exact"/>
        <w:tabs>
          <w:tab w:leader="none" w:pos="1860" w:val="left"/>
          <w:tab w:leader="none" w:pos="2360" w:val="left"/>
          <w:tab w:leader="none" w:pos="3580" w:val="left"/>
          <w:tab w:leader="none" w:pos="4160" w:val="left"/>
          <w:tab w:leader="none" w:pos="5680" w:val="left"/>
          <w:tab w:leader="none" w:pos="6320" w:val="left"/>
          <w:tab w:leader="none" w:pos="8280" w:val="left"/>
          <w:tab w:leader="none" w:pos="8940" w:val="left"/>
          <w:tab w:leader="none" w:pos="109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89" w:lineRule="exact"/>
        <w:rPr>
          <w:sz w:val="24"/>
          <w:szCs w:val="24"/>
          <w:color w:val="auto"/>
        </w:rPr>
      </w:pPr>
    </w:p>
    <w:p>
      <w:pPr>
        <w:ind w:right="80" w:firstLine="486"/>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7500" w:type="dxa"/>
            <w:vAlign w:val="bottom"/>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p>
        </w:tc>
        <w:tc>
          <w:tcPr>
            <w:tcW w:w="3740" w:type="dxa"/>
            <w:vAlign w:val="bottom"/>
            <w:gridSpan w:val="2"/>
          </w:tcPr>
          <w:p>
            <w:pPr>
              <w:jc w:val="right"/>
              <w:ind w:right="324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8"/>
        </w:trPr>
        <w:tc>
          <w:tcPr>
            <w:tcW w:w="75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of October 30, 2026, the following shares of the registrant’s common stock were outstanding:</w:t>
            </w:r>
          </w:p>
        </w:tc>
        <w:tc>
          <w:tcPr>
            <w:tcW w:w="26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31"/>
        </w:trPr>
        <w:tc>
          <w:tcPr>
            <w:tcW w:w="7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69,254,666</w:t>
            </w:r>
          </w:p>
        </w:tc>
      </w:tr>
      <w:tr>
        <w:trPr>
          <w:trHeight w:val="19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5,789,499</w:t>
            </w:r>
          </w:p>
        </w:tc>
      </w:tr>
      <w:tr>
        <w:trPr>
          <w:trHeight w:val="227"/>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75,044,165</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89"/>
        </w:trPr>
        <w:tc>
          <w:tcPr>
            <w:tcW w:w="75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60" w:type="dxa"/>
            <w:vAlign w:val="bottom"/>
            <w:gridSpan w:val="1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20" w:type="dxa"/>
            <w:vAlign w:val="bottom"/>
            <w:gridSpan w:val="12"/>
          </w:tcPr>
          <w:p>
            <w:pPr>
              <w:jc w:val="center"/>
              <w:ind w:right="3760"/>
              <w:spacing w:after="0" w:line="176"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40" w:type="dxa"/>
            <w:vAlign w:val="bottom"/>
            <w:gridSpan w:val="2"/>
          </w:tcPr>
          <w:p>
            <w:pPr>
              <w:spacing w:after="0"/>
              <w:rPr>
                <w:sz w:val="18"/>
                <w:szCs w:val="18"/>
                <w:color w:val="auto"/>
              </w:rPr>
            </w:pP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w:t>
            </w:r>
          </w:p>
        </w:tc>
        <w:tc>
          <w:tcPr>
            <w:tcW w:w="1080" w:type="dxa"/>
            <w:vAlign w:val="bottom"/>
            <w:gridSpan w:val="7"/>
          </w:tcPr>
          <w:p>
            <w:pPr>
              <w:spacing w:after="0"/>
              <w:rPr>
                <w:sz w:val="18"/>
                <w:szCs w:val="18"/>
                <w:color w:val="auto"/>
              </w:rPr>
            </w:pPr>
          </w:p>
        </w:tc>
        <w:tc>
          <w:tcPr>
            <w:tcW w:w="560" w:type="dxa"/>
            <w:vAlign w:val="bottom"/>
            <w:tcBorders>
              <w:top w:val="single" w:sz="8" w:color="0000FF"/>
            </w:tcBorders>
            <w:gridSpan w:val="4"/>
          </w:tcPr>
          <w:p>
            <w:pPr>
              <w:spacing w:after="0"/>
              <w:rPr>
                <w:sz w:val="18"/>
                <w:szCs w:val="18"/>
                <w:color w:val="auto"/>
              </w:rPr>
            </w:pPr>
          </w:p>
        </w:tc>
        <w:tc>
          <w:tcPr>
            <w:tcW w:w="3800" w:type="dxa"/>
            <w:vAlign w:val="bottom"/>
            <w:gridSpan w:val="7"/>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 of Operations</w:t>
            </w:r>
          </w:p>
        </w:tc>
        <w:tc>
          <w:tcPr>
            <w:tcW w:w="5060" w:type="dxa"/>
            <w:vAlign w:val="bottom"/>
            <w:gridSpan w:val="15"/>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Operations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Consolidated Statement of Shareholders' Equity</w:t>
            </w:r>
          </w:p>
        </w:tc>
        <w:tc>
          <w:tcPr>
            <w:tcW w:w="440" w:type="dxa"/>
            <w:vAlign w:val="bottom"/>
            <w:gridSpan w:val="3"/>
          </w:tcPr>
          <w:p>
            <w:pPr>
              <w:spacing w:after="0"/>
              <w:rPr>
                <w:sz w:val="18"/>
                <w:szCs w:val="18"/>
                <w:color w:val="auto"/>
              </w:rPr>
            </w:pPr>
          </w:p>
        </w:tc>
        <w:tc>
          <w:tcPr>
            <w:tcW w:w="3920" w:type="dxa"/>
            <w:vAlign w:val="bottom"/>
            <w:gridSpan w:val="8"/>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 of Cash Flows</w:t>
            </w:r>
          </w:p>
        </w:tc>
        <w:tc>
          <w:tcPr>
            <w:tcW w:w="4360" w:type="dxa"/>
            <w:vAlign w:val="bottom"/>
            <w:gridSpan w:val="11"/>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Note 1—The Company and Summary of Significant Accounting Policies</w:t>
            </w:r>
          </w:p>
        </w:tc>
        <w:tc>
          <w:tcPr>
            <w:tcW w:w="2560" w:type="dxa"/>
            <w:vAlign w:val="bottom"/>
            <w:gridSpan w:val="2"/>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2—Financial Instruments and Fair Value Measurements</w:t>
            </w:r>
          </w:p>
        </w:tc>
        <w:tc>
          <w:tcPr>
            <w:tcW w:w="2560" w:type="dxa"/>
            <w:vAlign w:val="bottom"/>
            <w:gridSpan w:val="2"/>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3—Long-term Debt</w:t>
            </w:r>
          </w:p>
        </w:tc>
        <w:tc>
          <w:tcPr>
            <w:tcW w:w="2580" w:type="dxa"/>
            <w:vAlign w:val="bottom"/>
            <w:tcBorders>
              <w:top w:val="single" w:sz="8" w:color="0000FF"/>
            </w:tcBorders>
            <w:gridSpan w:val="19"/>
          </w:tcPr>
          <w:p>
            <w:pPr>
              <w:spacing w:after="0"/>
              <w:rPr>
                <w:sz w:val="18"/>
                <w:szCs w:val="18"/>
                <w:color w:val="auto"/>
              </w:rPr>
            </w:pPr>
          </w:p>
        </w:tc>
        <w:tc>
          <w:tcPr>
            <w:tcW w:w="342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4—Shareholders' Equity</w:t>
            </w:r>
          </w:p>
        </w:tc>
        <w:tc>
          <w:tcPr>
            <w:tcW w:w="5640" w:type="dxa"/>
            <w:vAlign w:val="bottom"/>
            <w:gridSpan w:val="19"/>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5—Accumulated Other Comprehensive Loss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Note 6—Segment Information</w:t>
            </w:r>
          </w:p>
        </w:tc>
        <w:tc>
          <w:tcPr>
            <w:tcW w:w="4200" w:type="dxa"/>
            <w:vAlign w:val="bottom"/>
            <w:gridSpan w:val="10"/>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Note 7—Pension and Post-Retirement Benefit Plans</w:t>
            </w:r>
          </w:p>
        </w:tc>
        <w:tc>
          <w:tcPr>
            <w:tcW w:w="4060" w:type="dxa"/>
            <w:vAlign w:val="bottom"/>
            <w:gridSpan w:val="9"/>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Note 8—Income Taxes</w:t>
            </w:r>
          </w:p>
        </w:tc>
        <w:tc>
          <w:tcPr>
            <w:tcW w:w="6160" w:type="dxa"/>
            <w:vAlign w:val="bottom"/>
            <w:gridSpan w:val="24"/>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9—Loss Per Share</w:t>
            </w:r>
          </w:p>
        </w:tc>
        <w:tc>
          <w:tcPr>
            <w:tcW w:w="6060" w:type="dxa"/>
            <w:vAlign w:val="bottom"/>
            <w:gridSpan w:val="23"/>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10—Financial Statement Details</w:t>
            </w:r>
          </w:p>
        </w:tc>
        <w:tc>
          <w:tcPr>
            <w:tcW w:w="5060" w:type="dxa"/>
            <w:vAlign w:val="bottom"/>
            <w:gridSpan w:val="15"/>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11—Contingencies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12—Related Party Transactions</w:t>
            </w:r>
          </w:p>
        </w:tc>
        <w:tc>
          <w:tcPr>
            <w:tcW w:w="5140" w:type="dxa"/>
            <w:vAlign w:val="bottom"/>
            <w:gridSpan w:val="16"/>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13—Discontinued Operations</w:t>
            </w:r>
          </w:p>
        </w:tc>
        <w:tc>
          <w:tcPr>
            <w:tcW w:w="5280" w:type="dxa"/>
            <w:vAlign w:val="bottom"/>
            <w:gridSpan w:val="17"/>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14—People Inc. Financial Information</w:t>
            </w:r>
          </w:p>
        </w:tc>
        <w:tc>
          <w:tcPr>
            <w:tcW w:w="4640" w:type="dxa"/>
            <w:vAlign w:val="bottom"/>
            <w:gridSpan w:val="13"/>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15—Subsequent Event</w:t>
            </w:r>
          </w:p>
        </w:tc>
        <w:tc>
          <w:tcPr>
            <w:tcW w:w="5780" w:type="dxa"/>
            <w:vAlign w:val="bottom"/>
            <w:gridSpan w:val="20"/>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40" w:type="dxa"/>
            <w:vAlign w:val="bottom"/>
            <w:gridSpan w:val="2"/>
          </w:tcPr>
          <w:p>
            <w:pPr>
              <w:spacing w:after="0"/>
              <w:rPr>
                <w:sz w:val="18"/>
                <w:szCs w:val="18"/>
                <w:color w:val="auto"/>
              </w:rPr>
            </w:pPr>
          </w:p>
        </w:tc>
        <w:tc>
          <w:tcPr>
            <w:tcW w:w="64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40" w:type="dxa"/>
            <w:vAlign w:val="bottom"/>
            <w:gridSpan w:val="2"/>
          </w:tcPr>
          <w:p>
            <w:pPr>
              <w:spacing w:after="0"/>
              <w:rPr>
                <w:sz w:val="18"/>
                <w:szCs w:val="18"/>
                <w:color w:val="auto"/>
              </w:rPr>
            </w:pPr>
          </w:p>
        </w:tc>
        <w:tc>
          <w:tcPr>
            <w:tcW w:w="43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580" w:type="dxa"/>
            <w:vAlign w:val="bottom"/>
            <w:gridSpan w:val="4"/>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gridSpan w:val="13"/>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3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40" w:type="dxa"/>
            <w:vAlign w:val="bottom"/>
            <w:gridSpan w:val="2"/>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180" w:type="dxa"/>
            <w:vAlign w:val="bottom"/>
            <w:gridSpan w:val="14"/>
          </w:tcPr>
          <w:p>
            <w:pPr>
              <w:spacing w:after="0"/>
              <w:rPr>
                <w:sz w:val="18"/>
                <w:szCs w:val="18"/>
                <w:color w:val="auto"/>
              </w:rPr>
            </w:pPr>
          </w:p>
        </w:tc>
        <w:tc>
          <w:tcPr>
            <w:tcW w:w="660" w:type="dxa"/>
            <w:vAlign w:val="bottom"/>
            <w:tcBorders>
              <w:top w:val="single" w:sz="8" w:color="0000FF"/>
            </w:tcBorders>
            <w:gridSpan w:val="6"/>
          </w:tcPr>
          <w:p>
            <w:pPr>
              <w:spacing w:after="0"/>
              <w:rPr>
                <w:sz w:val="18"/>
                <w:szCs w:val="18"/>
                <w:color w:val="auto"/>
              </w:rPr>
            </w:pPr>
          </w:p>
        </w:tc>
        <w:tc>
          <w:tcPr>
            <w:tcW w:w="3760" w:type="dxa"/>
            <w:vAlign w:val="bottom"/>
            <w:gridSpan w:val="6"/>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40" w:type="dxa"/>
            <w:vAlign w:val="bottom"/>
            <w:gridSpan w:val="2"/>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22"/>
          </w:tcPr>
          <w:p>
            <w:pPr>
              <w:spacing w:after="0"/>
              <w:rPr>
                <w:sz w:val="18"/>
                <w:szCs w:val="18"/>
                <w:color w:val="auto"/>
              </w:rPr>
            </w:pPr>
          </w:p>
        </w:tc>
        <w:tc>
          <w:tcPr>
            <w:tcW w:w="3600" w:type="dxa"/>
            <w:vAlign w:val="bottom"/>
            <w:gridSpan w:val="5"/>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40" w:type="dxa"/>
            <w:vAlign w:val="bottom"/>
            <w:gridSpan w:val="2"/>
          </w:tcPr>
          <w:p>
            <w:pPr>
              <w:spacing w:after="0"/>
              <w:rPr>
                <w:sz w:val="18"/>
                <w:szCs w:val="18"/>
                <w:color w:val="auto"/>
              </w:rPr>
            </w:pP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80" w:type="dxa"/>
            <w:vAlign w:val="bottom"/>
            <w:gridSpan w:val="2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8"/>
                <w:szCs w:val="18"/>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Consolidated Financial Statements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 INCORPORATED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 except par value amounts)</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1,318,784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941,311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409,809</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97,913</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95,716</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1,756,032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1,544,749</w:t>
            </w:r>
          </w:p>
        </w:tc>
        <w:tc>
          <w:tcPr>
            <w:tcW w:w="0" w:type="dxa"/>
            <w:vAlign w:val="bottom"/>
          </w:tcPr>
          <w:p>
            <w:pPr>
              <w:spacing w:after="0"/>
              <w:rPr>
                <w:sz w:val="1"/>
                <w:szCs w:val="1"/>
                <w:color w:val="auto"/>
              </w:rPr>
            </w:pPr>
          </w:p>
        </w:tc>
      </w:tr>
      <w:tr>
        <w:trPr>
          <w:trHeight w:val="277"/>
        </w:trPr>
        <w:tc>
          <w:tcPr>
            <w:tcW w:w="7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land, equipment, leasehold improvements and capitalized software,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1,507,959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1,508,030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394,381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MGM Resorts International</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2,401,858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409,240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222,870</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16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429,395</w:t>
            </w:r>
          </w:p>
        </w:tc>
        <w:tc>
          <w:tcPr>
            <w:tcW w:w="0" w:type="dxa"/>
            <w:vAlign w:val="bottom"/>
          </w:tcPr>
          <w:p>
            <w:pPr>
              <w:spacing w:after="0"/>
              <w:rPr>
                <w:sz w:val="1"/>
                <w:szCs w:val="1"/>
                <w:color w:val="auto"/>
              </w:rPr>
            </w:pPr>
          </w:p>
        </w:tc>
      </w:tr>
      <w:tr>
        <w:trPr>
          <w:trHeight w:val="22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6,561,724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trade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29,859</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19,026</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391,368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96,114</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560,867</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1,384,664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1,401,324</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208,624</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226,422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25,264</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authorized 1,600,000 shares; 84,688 and 83,581 shares issued and 69,171 and 71,555 shares</w:t>
            </w: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2026 and December 31, 2025, respectively</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 $0.0001 par value; authorized 400,000 shares; 5,789 shares issued and outstanding at September 30, 2026 and</w:t>
            </w: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6,004,397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5,959,692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(643,000)</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15,517 shares and 12,026 shares at September 30, 2026 and December 31, 2025,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(704,056)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(571,032)</w:t>
            </w:r>
          </w:p>
        </w:tc>
        <w:tc>
          <w:tcPr>
            <w:tcW w:w="0" w:type="dxa"/>
            <w:vAlign w:val="bottom"/>
          </w:tcPr>
          <w:p>
            <w:pPr>
              <w:spacing w:after="0"/>
              <w:rPr>
                <w:sz w:val="1"/>
                <w:szCs w:val="1"/>
                <w:color w:val="auto"/>
              </w:rPr>
            </w:pPr>
          </w:p>
        </w:tc>
      </w:tr>
      <w:tr>
        <w:trPr>
          <w:trHeight w:val="189"/>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People Incorporated shareholders' equity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4,391,109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4,733,827</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4,435,947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4,763,759</w:t>
            </w:r>
          </w:p>
        </w:tc>
        <w:tc>
          <w:tcPr>
            <w:tcW w:w="0" w:type="dxa"/>
            <w:vAlign w:val="bottom"/>
          </w:tcPr>
          <w:p>
            <w:pPr>
              <w:spacing w:after="0"/>
              <w:rPr>
                <w:sz w:val="1"/>
                <w:szCs w:val="1"/>
                <w:color w:val="auto"/>
              </w:rPr>
            </w:pPr>
          </w:p>
        </w:tc>
      </w:tr>
      <w:tr>
        <w:trPr>
          <w:trHeight w:val="22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6,561,724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7,194,917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 INCORPORATED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1,273,353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1,301,719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488,769</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385,470</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246,019</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100,994</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67,357</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1,315,353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 in MGM Resorts International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(110,607)</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 of income taxes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People Incorporated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from continuing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Per share information attributable to People Incorporated common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and Class B common stock shareholders: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0"/>
        </w:trPr>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 INCORPORATED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COMPREHENSIVE OPERATIONS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(685,060)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2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(losses) on interest rate swaps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net of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Components of comprehensive income attributable to noncontrolling</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175"/>
        </w:trPr>
        <w:tc>
          <w:tcPr>
            <w:tcW w:w="5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foreign currency translation adjustment attributable to</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People Incorporated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w:t>
      </w:r>
      <w:r>
        <w:rPr>
          <w:rFonts w:ascii="Times New Roman" w:cs="Times New Roman" w:eastAsia="Times New Roman" w:hAnsi="Times New Roman"/>
          <w:sz w:val="18"/>
          <w:szCs w:val="18"/>
          <w:u w:val="single" w:color="auto"/>
          <w:color w:val="0000FF"/>
        </w:rPr>
        <w:t>Notes to Consolidated Financial Statements</w:t>
      </w:r>
      <w:r>
        <w:rPr>
          <w:rFonts w:ascii="Times New Roman" w:cs="Times New Roman" w:eastAsia="Times New Roman" w:hAnsi="Times New Roman"/>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PEOPLE INCORPORATED AND SUBSIDIARIES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 OF SHAREHOLDERS' EQUITY</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B common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Total People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4"/>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4"/>
            <w:vMerge w:val="restart"/>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stock,</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Incorporated</w:t>
            </w: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860" w:type="dxa"/>
            <w:vAlign w:val="bottom"/>
            <w:tcBorders>
              <w:right w:val="single" w:sz="8" w:color="auto"/>
            </w:tcBorders>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7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4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2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4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$ 6,008,443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(208,031)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(704,277)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$ 5,082,381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$ 5,117,888</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(686,133)</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net of income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94"/>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25,082</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25,082</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(22,889)</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(22,889)</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Excise tax on share issuances</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received pursuant to the tax sharing</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agreement with Angi Inc. post distribution</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7"/>
                <w:szCs w:val="17"/>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12,029</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$ 6,004,397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(895,522)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(704,056)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$ 4,391,109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$ 4,435,947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25,264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$ 5,959,692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(643,000)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(571,032)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$ 4,733,827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$ 4,763,759</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(249,242)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income taxes</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76,957</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77,428</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0" w:type="dxa"/>
            <w:vAlign w:val="bottom"/>
          </w:tcPr>
          <w:p>
            <w:pPr>
              <w:spacing w:after="0"/>
              <w:rPr>
                <w:sz w:val="1"/>
                <w:szCs w:val="1"/>
                <w:color w:val="auto"/>
              </w:rPr>
            </w:pPr>
          </w:p>
        </w:tc>
      </w:tr>
      <w:tr>
        <w:trPr>
          <w:trHeight w:val="195"/>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(133,024)</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(133,024)</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received pursuant to the tax sharing</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agreement with Angi Inc. post distribution</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Allocation of certain tax attributes in connection</w:t>
            </w:r>
          </w:p>
        </w:tc>
        <w:tc>
          <w:tcPr>
            <w:tcW w:w="100" w:type="dxa"/>
            <w:vAlign w:val="bottom"/>
          </w:tcPr>
          <w:p>
            <w:pPr>
              <w:spacing w:after="0"/>
              <w:rPr>
                <w:sz w:val="13"/>
                <w:szCs w:val="13"/>
                <w:color w:val="auto"/>
              </w:rPr>
            </w:pPr>
          </w:p>
        </w:tc>
        <w:tc>
          <w:tcPr>
            <w:tcW w:w="7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with the Angi Inc. Distribution</w:t>
            </w:r>
          </w:p>
        </w:tc>
        <w:tc>
          <w:tcPr>
            <w:tcW w:w="100" w:type="dxa"/>
            <w:vAlign w:val="bottom"/>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0"/>
                <w:szCs w:val="10"/>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0" w:type="dxa"/>
            <w:vAlign w:val="bottom"/>
          </w:tcPr>
          <w:p>
            <w:pPr>
              <w:spacing w:after="0"/>
              <w:rPr>
                <w:sz w:val="1"/>
                <w:szCs w:val="1"/>
                <w:color w:val="auto"/>
              </w:rPr>
            </w:pPr>
          </w:p>
        </w:tc>
      </w:tr>
      <w:tr>
        <w:trPr>
          <w:trHeight w:val="59"/>
        </w:trPr>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the Angi Inc. Distribution</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following the repeal of Canada's digital service</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0" w:type="dxa"/>
            <w:vAlign w:val="bottom"/>
          </w:tcPr>
          <w:p>
            <w:pPr>
              <w:spacing w:after="0"/>
              <w:rPr>
                <w:sz w:val="1"/>
                <w:szCs w:val="1"/>
                <w:color w:val="auto"/>
              </w:rPr>
            </w:pPr>
          </w:p>
        </w:tc>
      </w:tr>
      <w:tr>
        <w:trPr>
          <w:trHeight w:val="157"/>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8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7"/>
                <w:szCs w:val="17"/>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20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12,029</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$ 6,004,397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(895,522)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(704,056)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$ 4,391,109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$ 4,435,947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PEOPLE INCORPORATED AND SUBSIDIARIES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 OF SHAREHOLDERS' EQUITY</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2025</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B common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Total People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4"/>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gridSpan w:val="4"/>
            <w:vMerge w:val="restart"/>
          </w:tcPr>
          <w:p>
            <w:pPr>
              <w:jc w:val="center"/>
              <w:ind w:right="4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stock,</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2"/>
            <w:vMerge w:val="restart"/>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Incorporated</w:t>
            </w: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3"/>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4"/>
            <w:vMerge w:val="restart"/>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$0.0001 par value</w:t>
            </w:r>
          </w:p>
        </w:tc>
        <w:tc>
          <w:tcPr>
            <w:tcW w:w="80" w:type="dxa"/>
            <w:vAlign w:val="bottom"/>
            <w:vMerge w:val="restart"/>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860" w:type="dxa"/>
            <w:vAlign w:val="bottom"/>
            <w:tcBorders>
              <w:right w:val="single" w:sz="8" w:color="auto"/>
            </w:tcBorders>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7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4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20" w:type="dxa"/>
            <w:vAlign w:val="bottom"/>
            <w:gridSpan w:val="2"/>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76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4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6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25,279</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$ 5,920,478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(544,327)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(453,966)</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$ 4,911,092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$ 4,937,503</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(21,893)</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income taxes</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16,639</w:t>
            </w:r>
          </w:p>
        </w:tc>
        <w:tc>
          <w:tcPr>
            <w:tcW w:w="8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16,992</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(12,734)</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(100,882)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(100,882)</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25,279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83,239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$ 5,923,410</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 (566,206)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 (554,848)</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$ 4,790,486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27,928</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$ 4,818,414</w:t>
            </w:r>
          </w:p>
        </w:tc>
        <w:tc>
          <w:tcPr>
            <w:tcW w:w="0" w:type="dxa"/>
            <w:vAlign w:val="bottom"/>
          </w:tcPr>
          <w:p>
            <w:pPr>
              <w:spacing w:after="0"/>
              <w:rPr>
                <w:sz w:val="1"/>
                <w:szCs w:val="1"/>
                <w:color w:val="auto"/>
              </w:rPr>
            </w:pPr>
          </w:p>
        </w:tc>
      </w:tr>
      <w:tr>
        <w:trPr>
          <w:trHeight w:val="175"/>
        </w:trPr>
        <w:tc>
          <w:tcPr>
            <w:tcW w:w="2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84,831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$ 6,380,700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 (538,974)</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 (252,441)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$ 5,577,898</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701,075</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7"/>
              </w:rPr>
              <w:t>$ 6,278,973</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earnings (loss)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(25,916)</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(loss) income, net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15,415</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Issuance of common stock pursuant to stock-</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based awards, net of withholding taxes</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(57,913)</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(57,913)</w:t>
            </w:r>
          </w:p>
        </w:tc>
        <w:tc>
          <w:tcPr>
            <w:tcW w:w="0" w:type="dxa"/>
            <w:vAlign w:val="bottom"/>
          </w:tcPr>
          <w:p>
            <w:pPr>
              <w:spacing w:after="0"/>
              <w:rPr>
                <w:sz w:val="1"/>
                <w:szCs w:val="1"/>
                <w:color w:val="auto"/>
              </w:rPr>
            </w:pPr>
          </w:p>
        </w:tc>
      </w:tr>
      <w:tr>
        <w:trPr>
          <w:trHeight w:val="130"/>
        </w:trPr>
        <w:tc>
          <w:tcPr>
            <w:tcW w:w="2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Forfeiture of the Company's former CEO's</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common stock award</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9"/>
              </w:rPr>
              <w:t>Withholding taxes paid on transfer of Angi Inc.</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B shares to the Company's former CEO</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(9,347)</w:t>
            </w:r>
          </w:p>
        </w:tc>
        <w:tc>
          <w:tcPr>
            <w:tcW w:w="0" w:type="dxa"/>
            <w:vAlign w:val="bottom"/>
          </w:tcPr>
          <w:p>
            <w:pPr>
              <w:spacing w:after="0"/>
              <w:rPr>
                <w:sz w:val="1"/>
                <w:szCs w:val="1"/>
                <w:color w:val="auto"/>
              </w:rPr>
            </w:pPr>
          </w:p>
        </w:tc>
      </w:tr>
      <w:tr>
        <w:trPr>
          <w:trHeight w:val="130"/>
        </w:trPr>
        <w:tc>
          <w:tcPr>
            <w:tcW w:w="2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7"/>
              </w:rPr>
              <w:t>Issuance of Angi Inc. common stock pursuant to</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stock-based awards, net of withholding taxes,</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prior to the Distribution</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(302,407)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(302,407)</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8"/>
              </w:rPr>
              <w:t>Purchase of Angi Inc. treasury stock prior to the</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0" w:type="dxa"/>
            <w:vAlign w:val="bottom"/>
          </w:tcPr>
          <w:p>
            <w:pPr>
              <w:spacing w:after="0"/>
              <w:rPr>
                <w:sz w:val="1"/>
                <w:szCs w:val="1"/>
                <w:color w:val="auto"/>
              </w:rPr>
            </w:pPr>
          </w:p>
        </w:tc>
      </w:tr>
      <w:tr>
        <w:trPr>
          <w:trHeight w:val="122"/>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Adjustment of noncontrolling interests to</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amount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Adjustment to the liquidation value of Vivian</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Health preferred shares</w:t>
            </w:r>
          </w:p>
        </w:tc>
        <w:tc>
          <w:tcPr>
            <w:tcW w:w="10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2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Distribution of the Company's investment in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Angi Inc.</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(1,065,612)</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tcPr>
          <w:p>
            <w:pPr>
              <w:spacing w:after="0"/>
              <w:rPr>
                <w:sz w:val="15"/>
                <w:szCs w:val="15"/>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(1,065,994)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(1,065,994)</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Elimination of Angi Inc. noncontrolling interest</w:t>
            </w:r>
          </w:p>
        </w:tc>
        <w:tc>
          <w:tcPr>
            <w:tcW w:w="100" w:type="dxa"/>
            <w:vAlign w:val="bottom"/>
            <w:shd w:val="clear" w:color="auto" w:fill="CCEEFF"/>
          </w:tcPr>
          <w:p>
            <w:pPr>
              <w:spacing w:after="0"/>
              <w:rPr>
                <w:sz w:val="15"/>
                <w:szCs w:val="15"/>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(682,927)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20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25,279</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$ 5,923,410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(566,206)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(554,848)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$ 4,790,486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$ 4,818,414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PEOPLE INCORPORATED AND SUBSIDIARIES</w:t>
      </w:r>
    </w:p>
    <w:p>
      <w:pPr>
        <w:spacing w:after="0" w:line="5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 attributable to continuing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(247,891)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Loss on the sale of Care.com, net of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Earnings from discontinued operations, net of income taxes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84,935</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continuing operations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(110,607)</w:t>
            </w:r>
          </w:p>
        </w:tc>
        <w:tc>
          <w:tcPr>
            <w:tcW w:w="0" w:type="dxa"/>
            <w:vAlign w:val="bottom"/>
          </w:tcPr>
          <w:p>
            <w:pPr>
              <w:spacing w:after="0"/>
              <w:rPr>
                <w:sz w:val="1"/>
                <w:szCs w:val="1"/>
                <w:color w:val="auto"/>
              </w:rPr>
            </w:pPr>
          </w:p>
        </w:tc>
      </w:tr>
      <w:tr>
        <w:trPr>
          <w:trHeight w:val="162"/>
        </w:trPr>
        <w:tc>
          <w:tcPr>
            <w:tcW w:w="8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attributable to continuing operations to net cash provided by operating activities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attributable to continuing operations: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loss (gain) on investment in MGM Resorts International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 (including right-of-use asset impairments)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25,472</w:t>
            </w:r>
          </w:p>
        </w:tc>
        <w:tc>
          <w:tcPr>
            <w:tcW w:w="0" w:type="dxa"/>
            <w:vAlign w:val="bottom"/>
          </w:tcPr>
          <w:p>
            <w:pPr>
              <w:spacing w:after="0"/>
              <w:rPr>
                <w:sz w:val="1"/>
                <w:szCs w:val="1"/>
                <w:color w:val="auto"/>
              </w:rPr>
            </w:pPr>
          </w:p>
        </w:tc>
      </w:tr>
      <w:tr>
        <w:trPr>
          <w:trHeight w:val="162"/>
        </w:trPr>
        <w:tc>
          <w:tcPr>
            <w:tcW w:w="808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Net (gains) losses on sales of investments and businesses and downward adjustments to the carrying value of equity</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(170,375)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securities without readily determinable fair values</w:t>
            </w: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an unutilized domain name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related to the allocation of a disputed gain on a real estate transaction</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on amendments and early terminations of lease agreements</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adjustments,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w:t>
            </w:r>
          </w:p>
        </w:tc>
        <w:tc>
          <w:tcPr>
            <w:tcW w:w="0" w:type="dxa"/>
            <w:vAlign w:val="bottom"/>
          </w:tcPr>
          <w:p>
            <w:pPr>
              <w:spacing w:after="0"/>
              <w:rPr>
                <w:sz w:val="1"/>
                <w:szCs w:val="1"/>
                <w:color w:val="auto"/>
              </w:rPr>
            </w:pPr>
          </w:p>
        </w:tc>
      </w:tr>
      <w:tr>
        <w:trPr>
          <w:trHeight w:val="21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 net of effects of dispositions: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50,406</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(77,804)</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 and receivable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4"/>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 attributable to continuing operations: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proceeds from the sale of Care.com</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MGM Resorts International common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Angi Inc.'s cash in the Distribution</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(386,563)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an unutilized domain name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proceeds from the sales of investments and businesses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the sale of a portion of the retirement investment fund</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11,948</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434,152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(369,918)</w:t>
            </w:r>
          </w:p>
        </w:tc>
        <w:tc>
          <w:tcPr>
            <w:tcW w:w="0" w:type="dxa"/>
            <w:vAlign w:val="bottom"/>
          </w:tcPr>
          <w:p>
            <w:pPr>
              <w:spacing w:after="0"/>
              <w:rPr>
                <w:sz w:val="1"/>
                <w:szCs w:val="1"/>
                <w:color w:val="auto"/>
              </w:rPr>
            </w:pPr>
          </w:p>
        </w:tc>
      </w:tr>
      <w:tr>
        <w:trPr>
          <w:trHeight w:val="194"/>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 attributable to continuing operations: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Principal payments on the Term Loans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(1,430,148)</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the Term Loans refinancing</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991,451</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the 2032 Notes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issuance and deferred financing costs</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 taxes paid on behalf of employees on net settled stock-based awards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(67,053)</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from Angi Inc. pursuant to the tax sharing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(187,075)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(419,059)</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net cash provided by (used in) continuing operations</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352,659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(788,889)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operating activities attributable to discontinued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24,611</w:t>
            </w:r>
          </w:p>
        </w:tc>
        <w:tc>
          <w:tcPr>
            <w:tcW w:w="0" w:type="dxa"/>
            <w:vAlign w:val="bottom"/>
          </w:tcPr>
          <w:p>
            <w:pPr>
              <w:spacing w:after="0"/>
              <w:rPr>
                <w:sz w:val="1"/>
                <w:szCs w:val="1"/>
                <w:color w:val="auto"/>
              </w:rPr>
            </w:pPr>
          </w:p>
        </w:tc>
      </w:tr>
      <w:tr>
        <w:trPr>
          <w:trHeight w:val="21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attributable to discontinued operations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attributable to discontinued operations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net cash used in discontinued operations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339,729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(791,787)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986,831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1,807,255</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1,326,560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1,015,468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The accompanying </w:t>
      </w:r>
      <w:r>
        <w:rPr>
          <w:rFonts w:ascii="Times New Roman" w:cs="Times New Roman" w:eastAsia="Times New Roman" w:hAnsi="Times New Roman"/>
          <w:sz w:val="16"/>
          <w:szCs w:val="16"/>
          <w:u w:val="single" w:color="auto"/>
          <w:color w:val="0000FF"/>
        </w:rPr>
        <w:t>Notes to Consolidated Financial Statements</w:t>
      </w:r>
      <w:r>
        <w:rPr>
          <w:rFonts w:ascii="Times New Roman" w:cs="Times New Roman" w:eastAsia="Times New Roman" w:hAnsi="Times New Roman"/>
          <w:sz w:val="16"/>
          <w:szCs w:val="16"/>
          <w:color w:val="auto"/>
        </w:rPr>
        <w:t xml:space="preserve"> are an integral part of these statements.</w:t>
      </w:r>
    </w:p>
    <w:p>
      <w:pPr>
        <w:sectPr>
          <w:pgSz w:w="11900" w:h="16838" w:orient="portrait"/>
          <w:cols w:equalWidth="0" w:num="1">
            <w:col w:w="11220"/>
          </w:cols>
          <w:pgMar w:left="320" w:top="118" w:right="359" w:bottom="862"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8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PEOPLE INCORPORATED AND SUBSIDIARIES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1—THE COMPANY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June 4, 2026, IAC Inc. changed its name to People Incorporated (NASDAQ: PPLI), which is the owner of publisher, People Inc. Group. People Incorporated also holds a significant minority stake in MGM Resorts International (“MGM”).</w:t>
      </w:r>
    </w:p>
    <w:p>
      <w:pPr>
        <w:spacing w:after="0" w:line="16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used herein, “People Incorporated,” the “Company,” “we,” “our,” “us” and other similar terms refer to People Incorporated and its subsidiaries (unless the context requires otherwise).</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On June 30, 2026, Dotdash Meredith Inc. amended and restated its certificate of incorporation to change its name to People Inc. Group. As used herein, “People Inc.” refers to People Inc.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April 28, 2026, the Company initiated a plan to consolidate its corporate functions with those of People Inc. through a reduction in workforce, technology integrations and other cost-saving measures over the coming quarters (the “Plan”). The Plan is expected to be completed during the first quarter of 2027.</w:t>
      </w:r>
    </w:p>
    <w:p>
      <w:pPr>
        <w:spacing w:after="0" w:line="17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 summary of the costs incurred, payments, related accrual and estimated remaining costs is presented below. All charges related to the Plan are included in “General and administrative expense” in the statement of operations. Severance and employee separation benefits and other costs related to the Plan are included in “Accrued expenses and other current liabilities” in the balance sheet.</w:t>
      </w:r>
    </w:p>
    <w:p>
      <w:pPr>
        <w:spacing w:after="0" w:line="210"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13335</wp:posOffset>
            </wp:positionV>
            <wp:extent cx="1122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4"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00"/>
          </w:cols>
          <w:pgMar w:left="320" w:top="118" w:right="37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Charges incurred, including stock-based compensation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Reversal of initial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(non-cash)</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5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4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90"/>
        </w:trPr>
        <w:tc>
          <w:tcPr>
            <w:tcW w:w="15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-1431925</wp:posOffset>
            </wp:positionV>
            <wp:extent cx="696087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460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-1140460</wp:posOffset>
            </wp:positionV>
            <wp:extent cx="696087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454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-848995</wp:posOffset>
            </wp:positionV>
            <wp:extent cx="69608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4605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7620</wp:posOffset>
            </wp:positionV>
            <wp:extent cx="3471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ind w:left="2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 w:lineRule="exact"/>
        <w:rPr>
          <w:sz w:val="20"/>
          <w:szCs w:val="20"/>
          <w:color w:val="auto"/>
        </w:rPr>
      </w:pPr>
    </w:p>
    <w:p>
      <w:pPr>
        <w:sectPr>
          <w:pgSz w:w="11900" w:h="16838" w:orient="portrait"/>
          <w:cols w:equalWidth="0" w:num="2">
            <w:col w:w="5060" w:space="720"/>
            <w:col w:w="5420"/>
          </w:cols>
          <w:pgMar w:left="32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employee separation benefits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0"/>
        </w:trPr>
        <w:tc>
          <w:tcPr>
            <w:tcW w:w="5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60" w:hanging="328"/>
        <w:spacing w:after="0" w:line="302" w:lineRule="auto"/>
        <w:tabs>
          <w:tab w:leader="none" w:pos="581"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total expected stock-based compensation expense of $46.5 million includes $30.8 million of expense associated with awards that were modified to vest in connection with the Plan and $15.7 million of expense associated with awards that accelerate based on the original terms of the award agreements.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340" w:right="276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and actual amounts may differ from these estimates. In addition, the Company may incur other charges or cash expenditures not currently contemplated due to unanticipated events that may occur in connection with the implementation of the Plan.</w:t>
      </w:r>
    </w:p>
    <w:p>
      <w:pPr>
        <w:spacing w:after="0" w:line="176"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Plan and effective August 5, 2026, Neil Vogel, who previously served as Chief Executive Officer (“CEO”) of People Inc., and Timothy Quinn, who previously served as Chief Financial Officer (“CFO”) of People Inc. were appointed as CEO and CFO, respectively, of the Company. Effective as of the same date, Christopher Halpin ceased serving as Executive Vice President (“EVP”), Chief Operating Officer and CFO of the Company, and Kendall Handler ceased serving as EVP and Chief Legal Officer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Shutdown of Search Segment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On December 10, 2025, the Company received a notice of non-renewal (the “Notice”) from Google LLC of the services agreement, dated October 26,</w:t>
      </w:r>
    </w:p>
    <w:p>
      <w:pPr>
        <w:spacing w:after="0" w:line="3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of Care.com</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March 16, 2026, the Company completed the sale of its wholly-owned subsidiary, Care.com, for net proceeds of $300.2 million. As a result of the transaction, the consolidated operations of Care.com are presented as discontinued operations within the Company’s consolidated financial statements for all periods prior to March 16, 2026.</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 Inc. Distribution</w:t>
      </w:r>
    </w:p>
    <w:p>
      <w:pPr>
        <w:spacing w:after="0" w:line="229" w:lineRule="exact"/>
        <w:rPr>
          <w:sz w:val="20"/>
          <w:szCs w:val="20"/>
          <w:color w:val="auto"/>
        </w:rPr>
      </w:pPr>
    </w:p>
    <w:p>
      <w:pPr>
        <w:jc w:val="both"/>
        <w:ind w:right="240" w:firstLine="405"/>
        <w:spacing w:after="0" w:line="281" w:lineRule="auto"/>
        <w:rPr>
          <w:sz w:val="20"/>
          <w:szCs w:val="20"/>
          <w:color w:val="auto"/>
        </w:rPr>
      </w:pPr>
      <w:r>
        <w:rPr>
          <w:rFonts w:ascii="Times New Roman" w:cs="Times New Roman" w:eastAsia="Times New Roman" w:hAnsi="Times New Roman"/>
          <w:sz w:val="17"/>
          <w:szCs w:val="17"/>
          <w:color w:val="auto"/>
        </w:rPr>
        <w:t>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13—Discontinued Operations</w:t>
      </w:r>
      <w:r>
        <w:rPr>
          <w:rFonts w:ascii="Times New Roman" w:cs="Times New Roman" w:eastAsia="Times New Roman" w:hAnsi="Times New Roman"/>
          <w:sz w:val="18"/>
          <w:szCs w:val="18"/>
          <w:color w:val="auto"/>
        </w:rPr>
        <w: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(referred to herein as “financial statements”) in accordance with United States (“U.S.”) generally accepted accounting principles (“GAAP”). The financial statements include all accounts of the Company, all entities that are wholly-owned by the Company and all entities in which the Company has a controlling financial interest. All intercompany transactions and balances between entities comprising the Company have been eliminated.</w:t>
      </w:r>
    </w:p>
    <w:p>
      <w:pPr>
        <w:spacing w:after="0" w:line="18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in accordance with GAAP for interim financial information and with the rules and regulations of the Securities and Exchange Commission (“SEC”). Accordingly, they do not include all the information and notes required by GAAP for complete annual financial statements. In the opinion of management, the unaudited interim financial statements include all normal recurring adjustments considered necessary for a fair presentation. Interim results are not necessarily indicative of the results that may be expected for the full year. The unaudited interim financial statements should be read in conjunction with the annual audited financial statements and notes thereto for the year ended December 31, 2025 included in the Current Report on Form 8-K filed with the SEC on September 11, 2026.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Management of the Company is required to make certain estimates, judgments and assumptions, during the preparation of its financial statements in accordance with GAAP. These estimates, judgments and assumptions affect the amounts reported in the financial statements and the disclosures in the accompanying notes. Actual results could differ from these estimates.</w:t>
      </w:r>
    </w:p>
    <w:p>
      <w:pPr>
        <w:spacing w:after="0" w:line="17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an ongoing basis, the Company evaluates its estimates, judgments and assumptions, if applicable, including those related to: the fair value of cash equivalents; the carrying value of accounts receivable, including the determination of the allowance for credit losses; the recoverability of right-of-use assets (“ROU assets”); the useful lives and recoverability of buildings, equipment, leasehold improvements and capitalized software and definite-lived intangible assets; the recoverability of goodwill and indefinite-lived intangible assets; the fair value of equity securities without readily determinable fair values; the fair value of interest rate swaps; contingencies; unrecognized tax benefits; the valuation allowance for deferred income tax assets; pension and post-retirement benefit plan assets and liabilities, including actuarial assumptions regarding discount rates, expected returns on plan assets, inflation and healthcare costs; and the fair value of and forfeiture rates for stock-based awards, among others. The Company bases its estimates, judgments and assumptions on historical experience, its forecasts and budgets and other factors that the Company considers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Revenue Recognition</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accounts for a contract with a customer when it has approval and commitment from all authorized parties, the rights of the parties and payment terms are identified, the contract has commercial substance and collectability of the consideration is probable. Revenue is recognized when control of the promised services or goods is transferred to the Company’s customers and in an amount that reflects the consideration the Company expects to be entitled to in exchange for those services or goods.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disaggregated revenue disclosures are presented in “</w:t>
      </w:r>
      <w:r>
        <w:rPr>
          <w:rFonts w:ascii="Times New Roman" w:cs="Times New Roman" w:eastAsia="Times New Roman" w:hAnsi="Times New Roman"/>
          <w:sz w:val="18"/>
          <w:szCs w:val="18"/>
          <w:u w:val="single" w:color="auto"/>
          <w:color w:val="0000FF"/>
        </w:rPr>
        <w:t>Note 6—Segment Information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contracts that have an original duration of one year or less, the Company uses the practical expedient available under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applicable to such contracts and does not consider the time value of money.</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addition, as permitted under the practical expedient available under ASC 606, the Company does not disclose the value of unsatisfied performance obligations for (i) contracts with an original expected length of one year or less, (ii) contracts with variable consideration that is tied to sales-based or usage-based royalties, allocated entirely to unsatisfied performance obligations, or to a wholly unsatisfied promise accounted for under the series guidance and (iii) contracts for which the Company recognizes revenue at the amount which it has the right to invoice for services performed.</w:t>
      </w:r>
    </w:p>
    <w:p>
      <w:pPr>
        <w:spacing w:after="0" w:line="180"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The Company also applies the practical expedient to expense commissions paid pursuant to sales incentive programs as incurred where the anticipated customer relationship period is one year or less.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Deferred revenue consists of payments received or amounts contractually due in advance of the Company’s performance obligation. The Company’s deferred revenue is reported on a contract-by-contract basis at the end of each reporting period. The Company classifies deferred revenue as current when the remaining term or expected completion of its performance obligation is one year or less.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deferred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19,068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20,309</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deferred revenue balance recognized during the period</w:t>
            </w:r>
          </w:p>
        </w:tc>
        <w:tc>
          <w:tcPr>
            <w:tcW w:w="1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(18,007)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(19,189)</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primarily due to timing of collections and recognition</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22,158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22,521</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1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23,219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23,641</w:t>
            </w:r>
          </w:p>
        </w:tc>
      </w:tr>
      <w:tr>
        <w:trPr>
          <w:trHeight w:val="21"/>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Non-current deferred revenue was $0.1 million and less than $0.1 million at September 30, 2026 and December 31, 2025, respectively, and is included in “Other long-term liabilities” in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 by the Company</w:t>
      </w:r>
    </w:p>
    <w:p>
      <w:pPr>
        <w:spacing w:after="0" w:line="227"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ASU No. 2024-03—Income Statement-Reporting Comprehensive Income—Expense Disaggregation Disclosures (Subtopic 220-40)—Disaggregation of Income Statement Expenses</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which is intended to provide users of financial statements with more decision-useful information about expenses of a public business entity, primarily through enhanced disclosures of certain components of expenses commonly presented within captions on the statement of operations, such as purchases of inventory, employee compensation, depreciation and amortization, as well as a qualitative description of the amounts remaining in relevant expense captions that are not separately disaggregated quantitatively. ASU No. 2024-03 also requires disclosure of the total amount of selling expenses and, in annual reporting periods, the definition of selling expenses. ASU No. 2024-03 is effective for fiscal years beginning after December 15, 2026 and for interim periods beginning after December 15, 2027. Early adoption is permitted and ASU No. 2024-03 may be applied either prospectively or retrospectively. ASU No. 2024-03 does not affect the Company’s results of operations, financial condition or cash flows. The Company plans to apply ASU 2024-03 on a prospective basis and does not plan to early adopt ASU No. 2024-03; the Company is currently assessing its impact on its disclosures.</w:t>
      </w:r>
    </w:p>
    <w:p>
      <w:pPr>
        <w:spacing w:after="0" w:line="186"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ASU No. 2025-06—Intangibles—Goodwill and Other— Internal-Use Software (Subtopic 350-40): Targeted Improvements to Accounting for Internal-Use Software</w:t>
      </w:r>
    </w:p>
    <w:p>
      <w:pPr>
        <w:spacing w:after="0" w:line="16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which amends the existing standard by removing references to software development project stages and clarifying the criteria for capitalization. ASU No. 2025-06 is effective for fiscal years beginning after December 15, 2027 and for interim periods within those fiscal years. Early adoption is permitted, and ASU No. 2025-06 may be applied prospectively, retrospectively or with a modified transition approach. The Company is (i) assessing the timing of its adoption of ASU No. 2025-06, (ii) expects to adopt ASU No. 2025-06 on a prospective basis and</w:t>
      </w:r>
    </w:p>
    <w:p>
      <w:pPr>
        <w:spacing w:after="0" w:line="3"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assessing the impact of its adoption on its results of operations, financial condition and cash flows.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MGM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4"/>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2,401,858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At September 30, 2026, the Company owns 66.8 million common shares of MGM, which represents approximately 26.6% of MGM's common shares outstanding; including 1.0 million common shares purchased in the first quarter of 2026 for $37.2 million.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 For the three and nine months ended September 30, 2026, the Company recorded unrealized pre-tax losses of $1.1 billion and $364.3 million, respectively, from its investment in MGM. For the three and nine months ended September 30, 2025, the Company recorded unrealized pre-tax gains of $17.5 million and $0.6 million, respectively, from its investment in MGM. The cumulative unrealized net pre-tax gain through September 30, 2026 is $733.7 million. A $2.00 increase or decrease in the share price of MGM would result in an unrealized gain or loss, respectively, of $133.6 million.</w:t>
      </w:r>
    </w:p>
    <w:p>
      <w:pPr>
        <w:spacing w:after="0" w:line="18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Company is party to a voting agreement with MGM and Barry Diller that was originally entered into on April 3, 2026 and amended on October 27, 2026 (as amended, “the Amended MGM Voting Agreement”).</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Amended MGM Voting Agreement, the Company, Mr. Diller and their controlled affiliates (the “Covered Entities”) have agreed not to acquire securities of MGM if doing so would cause them to beneficially own more than 29.9% of MGM’s outstanding common stock. If the Covered Entities’ beneficial ownership exceeds this threshold as a result of MGM’s repurchase of its securities, the Covered Entities will not be in breach of the Amended MGM Voting Agreement so long as they make no further acquisitions while above 29.9%. Additionally, for any matter, other than a change of control transaction, that is brought to a vote or consent of MGM’s stockholders, the Covered Entities have agreed to vote any voting securities they beneficially own in excess of 25.73% of the total voting power of MGM’s outstanding voting securities in the same manner as the majority of the voting securities of MGM (other than those held by the Covered Entities, MGM’s directors and executive officers, and any controlled affiliates of MGM’s directors or executive officers) are voted on such matters.</w:t>
      </w:r>
    </w:p>
    <w:p>
      <w:pPr>
        <w:spacing w:after="0" w:line="19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With respect to votes or consents in connection with a change of control transaction, the Covered Entities have agreed to vote all voting securities they beneficially own consistent with the recommendation of MGM’s Board of Directors (the “MGM Board”), so long as: (i) any directors designated by the Company under the Amended MGM Voting Agreement serve on any transaction committee of the MGM Board for that transaction (absent specific exceptions); (ii) the transaction is with a third party unaffiliated with MGM, its controlled affiliates, or its directors or executive officers; (iii) the Covered Entities’ equity securities receive the same consideration and treatment as securities of the same class held by other stockholders, unless the Covered Entities consent otherwise; and (iv) the transaction does not impose any new or additional restrictions on the Covered Entities with respect to the surviving or acquiring entity. If any of these conditions is not satisfied, the Covered Entities will not be subject to any voting restrictions in connection with that change of control transaction.</w:t>
      </w:r>
    </w:p>
    <w:p>
      <w:pPr>
        <w:spacing w:after="0" w:line="1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Under the Amended MGM Voting Agreement, MGM has agreed that as long as the Covered Entities are in compliance with such agreement, it will not implement any stockholder rights plan or other defensive measure or action primarily designed or intended to be adverse to the Covered Entities or that MGM knows would be disproportionately adverse to the Covered Entities relative to other holders of the same class of equity securities of MGM.</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The Amended MGM Voting Agreement automatically terminates upon the earliest of: (a) the Covered Entities collectively ceasing to beneficially own at least 17.5% of MGM’s outstanding voting securities; (b) the MGM Board’s failure to nominate two directors designated by the Company (if the Company has designated two directors) who qualify under MGM’s Corporate Governance Guidelines (“Qualified Directors”) to stand for election (the “Nomination Condition”); or (c) a change of control of MGM (excluding any change of control in which the Covered Entities are part of the group acquiring control, unless specifically approved by the MGM Board). If the Company chooses not to designate one or more directors, the Amended MGM Voting Agreement does not terminate. In order to satisfy the Nomination Condition, if at any time the MGM Board has fewer than two Company designated directors, the MGM Board must add Qualified Director(s) within one month of the Company’s designation (subject to required regulatory approvals). At the time of signing of the original agreement, Mr. Diller was deemed designated by the Company to serve on the MGM Board.</w:t>
      </w:r>
    </w:p>
    <w:p>
      <w:pPr>
        <w:spacing w:after="0" w:line="192" w:lineRule="exact"/>
        <w:rPr>
          <w:sz w:val="20"/>
          <w:szCs w:val="20"/>
          <w:color w:val="auto"/>
        </w:rPr>
      </w:pPr>
    </w:p>
    <w:p>
      <w:pPr>
        <w:ind w:right="340" w:firstLine="405"/>
        <w:spacing w:after="0" w:line="227" w:lineRule="exact"/>
        <w:rPr>
          <w:sz w:val="20"/>
          <w:szCs w:val="20"/>
          <w:color w:val="auto"/>
        </w:rPr>
      </w:pPr>
      <w:r>
        <w:rPr>
          <w:rFonts w:ascii="Times New Roman" w:cs="Times New Roman" w:eastAsia="Times New Roman" w:hAnsi="Times New Roman"/>
          <w:sz w:val="18"/>
          <w:szCs w:val="18"/>
          <w:color w:val="auto"/>
        </w:rPr>
        <w:t>Additionally, Mr. Diller and his controlled affiliates (other than the Company and its affiliates, the “Diller Entities”) will cease to be subject to the voting limitation on the Excess Voting Securities and will no longer be considered Covered Entities when both: (i) Mr. Diller no longer serves as the Company’s Chairman or Senior Executive, and (ii) the Diller Entities no longer beneficially own voting securities of the Company representing at least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Company’s total voting power.</w:t>
      </w:r>
    </w:p>
    <w:p>
      <w:pPr>
        <w:spacing w:after="0" w:line="17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MGM’s summarized financial information for the nine months ended September 30, 2026 and 2025. As noted above, the Company accounts for its investment in MGM under the equity method of accounting using the fair value option. As a result, the carrying value of our investment and the gain or loss in any given period are not necessarily correlated with the income statement information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gridSpan w:val="4"/>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13,117,602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12,932,416</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12,261,268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12,294,252</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MGM</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(87,750)</w:t>
            </w:r>
          </w:p>
        </w:tc>
      </w:tr>
      <w:tr>
        <w:trPr>
          <w:trHeight w:val="522"/>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investments consist of:</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2"/>
        </w:trPr>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24"/>
                <w:szCs w:val="24"/>
                <w:color w:val="auto"/>
              </w:rPr>
            </w:pP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4"/>
          </w:tcPr>
          <w:p>
            <w:pPr>
              <w:jc w:val="right"/>
              <w:ind w:right="13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without readily determinable fair values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394,277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409,240</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409,240</w:t>
            </w: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4, 2026, the Company completed the sale of its limited partner stake in a third-party fund to a group of private investors for proceeds, net of transaction costs, of $185.1 million, resulting in a pre-tax gain of $174.9 million. During the first quarter of 2026, the Company recorded an impairment of $4.6 million related to an equity security without a readily determinable fair value included in the fund.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p>
      <w:pPr>
        <w:spacing w:after="0" w:line="229" w:lineRule="exact"/>
        <w:rPr>
          <w:sz w:val="20"/>
          <w:szCs w:val="20"/>
          <w:color w:val="auto"/>
        </w:rPr>
      </w:pPr>
    </w:p>
    <w:p>
      <w:pPr>
        <w:jc w:val="both"/>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unrealized pre-tax gains and losses recorded in “Other income (expense), net” in the statement of operations as adjustments to the carrying value of equity securities without readily determinable fair values held at September 30,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2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196"/>
        </w:trPr>
        <w:tc>
          <w:tcPr>
            <w:tcW w:w="3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4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2"/>
        </w:trPr>
        <w:tc>
          <w:tcPr>
            <w:tcW w:w="35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Downward adjustments including impairments</w:t>
            </w:r>
          </w:p>
        </w:tc>
        <w:tc>
          <w:tcPr>
            <w:tcW w:w="1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unrealized pre-tax losses)</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(28,945)</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(28,945)</w:t>
            </w:r>
          </w:p>
        </w:tc>
      </w:tr>
      <w:tr>
        <w:trPr>
          <w:trHeight w:val="21"/>
        </w:trPr>
        <w:tc>
          <w:tcPr>
            <w:tcW w:w="3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cumulative upward and downward adjustments (including impairments) to the carrying value of equity securities without readily determinable fair values held at September 30, 2026 were $31.4 million and $162.9 million, respectively.</w:t>
      </w:r>
    </w:p>
    <w:p>
      <w:pPr>
        <w:spacing w:after="0" w:line="16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Realized and unrealized pre-tax gains and losses for the Company’s investments without readily determinable fair values for the three and nine months ended September 30, 2026 and 2025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1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2"/>
        </w:trPr>
        <w:tc>
          <w:tcPr>
            <w:tcW w:w="35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Realized pre-tax gains, net, for equity securities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sold</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r>
      <w:tr>
        <w:trPr>
          <w:trHeight w:val="175"/>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pre-tax losses, net, on equity</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held</w:t>
            </w:r>
          </w:p>
        </w:tc>
        <w:tc>
          <w:tcPr>
            <w:tcW w:w="1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(28,945)</w:t>
            </w: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pre-tax gains (losses) recognized</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All pre-tax gains and losses on equity securities without readily determinable fair values, realized and unrealized, are recognized in “Other income (expense), net” in the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categorizes its financial instruments measured at fair value into a fair value hierarchy that prioritizes the inputs used in pricing the asset or liability. The three levels of the fair value hierarchy are:</w:t>
      </w:r>
    </w:p>
    <w:p>
      <w:pPr>
        <w:spacing w:after="0" w:line="162" w:lineRule="exact"/>
        <w:rPr>
          <w:sz w:val="20"/>
          <w:szCs w:val="20"/>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obtained from independent sources, such as quoted market prices for identical assets and liabilities in active markets.</w:t>
      </w:r>
    </w:p>
    <w:p>
      <w:pPr>
        <w:spacing w:after="0" w:line="225" w:lineRule="exact"/>
        <w:rPr>
          <w:rFonts w:ascii="Times New Roman" w:cs="Times New Roman" w:eastAsia="Times New Roman" w:hAnsi="Times New Roman"/>
          <w:sz w:val="18"/>
          <w:szCs w:val="18"/>
          <w:color w:val="auto"/>
        </w:rPr>
      </w:pPr>
    </w:p>
    <w:p>
      <w:pPr>
        <w:ind w:left="660" w:hanging="247"/>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inputs, which are observable directly or indirectly, such as quoted market prices for similar assets or liabilities in active markets, quoted market prices for identical or similar assets or liabilities in markets that are not active and inputs that are derived principally from or corroborated by observable market data. The fair values of the Company’s Level 2 financial assets are primarily obtained from observable market prices for identical underlying securities that may not be actively traded. Certain of these securities may have different market prices from multiple market data sources, in which case an average market price is used.</w:t>
      </w:r>
    </w:p>
    <w:p>
      <w:pPr>
        <w:spacing w:after="0" w:line="183" w:lineRule="exact"/>
        <w:rPr>
          <w:rFonts w:ascii="Times New Roman" w:cs="Times New Roman" w:eastAsia="Times New Roman" w:hAnsi="Times New Roman"/>
          <w:sz w:val="18"/>
          <w:szCs w:val="18"/>
          <w:color w:val="auto"/>
        </w:rPr>
      </w:pPr>
    </w:p>
    <w:p>
      <w:pPr>
        <w:ind w:left="660" w:right="300" w:hanging="247"/>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require the Company to develop its own assumptions, based on the best information available in the circumstances, about the assumptions market participants would use in pricing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financial instruments that are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925,628</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MGM</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3,000,462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3,021,898</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5" w:lineRule="exact"/>
        <w:rPr>
          <w:sz w:val="20"/>
          <w:szCs w:val="20"/>
          <w:color w:val="auto"/>
        </w:rPr>
      </w:pPr>
    </w:p>
    <w:p>
      <w:pPr>
        <w:ind w:left="660" w:right="120" w:hanging="328"/>
        <w:spacing w:after="0" w:line="284" w:lineRule="auto"/>
        <w:tabs>
          <w:tab w:leader="none" w:pos="581"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interest rate swaps was determined using discounted cash flows derived from observable market prices, including swap curves, which are Level 2 inputs.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u w:val="single" w:color="auto"/>
          <w:color w:val="0000FF"/>
        </w:rPr>
        <w:t>Note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—Long-term Debt</w:t>
      </w:r>
      <w:r>
        <w:rPr>
          <w:rFonts w:ascii="Times New Roman" w:cs="Times New Roman" w:eastAsia="Times New Roman" w:hAnsi="Times New Roman"/>
          <w:sz w:val="17"/>
          <w:szCs w:val="17"/>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additional information.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Time 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MGM</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739,891</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739,891</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3,141,749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3,162,438</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-916940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-624840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-334010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-16510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299720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160" w:val="left"/>
          <w:tab w:leader="none" w:pos="1520" w:val="left"/>
          <w:tab w:leader="none" w:pos="2400" w:val="left"/>
          <w:tab w:leader="none" w:pos="3060" w:val="left"/>
          <w:tab w:leader="none" w:pos="4220" w:val="left"/>
          <w:tab w:leader="none" w:pos="4600" w:val="left"/>
          <w:tab w:leader="none" w:pos="5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(2,018)</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84048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40480" cy="342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4480" w:space="720"/>
            <w:col w:w="6040"/>
          </w:cols>
          <w:pgMar w:left="320" w:top="118" w:right="339" w:bottom="1440" w:gutter="0" w:footer="0" w:header="0"/>
          <w:type w:val="continuous"/>
        </w:sectPr>
      </w:pP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ROU assets, buildings, equipment, leasehold improvements and capitalized software, are adjusted to fair value only when an impairment is recognized. The Company's financial assets, comprising equity securities without readily determinable fair values, are adjusted to fair value when observable price changes for similar or identical securities are identified or an impairment is recognized. Such fair value measurements are based predominantly on Level 3 inputs.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only for disclosure purposes</w:t>
      </w:r>
    </w:p>
    <w:p>
      <w:pPr>
        <w:spacing w:after="0" w:line="229"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total fair value of the outstanding long-term debt, including the current portion, is estimated using observable market prices or indices for similar liabilities, which are Level 2 inputs, and was approximately $1.36 billion and $1.33 billion at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3—LONG-TERM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consists of:</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A-1 due May 14, 2030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B-2 due June 16, 2032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7.625% Senior Secured Notes due June 15, 2032; interest payable each June 15 and December 15</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1,441,250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1,401,324</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the second quarter of 2025, People Inc. completed the refinancing and replacement of its then outstanding debt, which comprised the then existing term loans, with a combination of new term loans and senior secured notes. People Inc. also replaced its revolving credit facility. As a result of the refinancing and replacement transaction, People Inc. recorded an extinguishment loss of $8.5 million during the second quarter of 2025 to write off a pro-rata amount of unamortized capitalized costs and the original issue discount related to the previously outstanding Term Loans and the then existing revolving credit facility. The extinguishment loss is recorded in “Interest expense” in the statement of operations. Fees incurred of $0.6 million that did not qualify for capitalization are recorded in “Other income (expense), net” in the statement of operations.</w:t>
      </w:r>
    </w:p>
    <w:p>
      <w:pPr>
        <w:spacing w:after="0" w:line="18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May 14, 2025, People Inc. entered into the Incremental Assumption Agreement and Amendment No. 2 to the Credit Agreement (“Amendment No. 2”), which provided for the (i) $350 million of the Term Loan A-1 (“Term Loan A-1”) and (ii) $150 million revolving credit facility (“Revolving Facility”) that expires on May 14, 2030. On June 16, 2025, People Inc. entered into the Credit Agreement and Second Amendment to the Security Agreement (“Amendment No. 3”), which governs the Term Loan A-1, Revolving Facility and provided for the $700 million of the Term Loan B-2 (“Term Loan B-2”). Additionally, on June 16, 2025, People Inc. issued 7.625% Senior Secured Notes (“2032 Notes”) and entered into an indenture that governs the 2032 Notes (the “Indenture”). The Term Loan A-1 and the Term Loan B-2 are collectively referred to herein as the “Term Loans.”</w:t>
      </w:r>
    </w:p>
    <w:p>
      <w:pPr>
        <w:spacing w:after="0" w:line="187"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People Inc. has never borrowed under its revolving credit facilities. The annual commitment fee on undrawn funds is based on People Inc.’s most recently reported consolidated net leverage ratio, as defined in the governing agreements, and was 35 basis points at both September 30, 2026 and December 31, 2025. Any borrowings under the Revolving Facility would bear interest, at People Inc.’s option, at either a base rate or secured overnight financing rate (“SOFR”), plus an applicable margin, which is based on People Inc.’s consolidated net leverage ratio, as defined in the governing agreements.</w:t>
      </w:r>
    </w:p>
    <w:p>
      <w:pPr>
        <w:spacing w:after="0" w:line="18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As of the last day of any calendar quarter, People Inc. is required to maintain certain consolidated net leverage ratios, as defined in the governing agreements.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periods ended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340" w:right="276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$55.0 million contribution that the Company made in September 2025, which People Inc. distributed back to the Company in October 2025; therefore, there were no pending contributions or distributions outstanding as of September 30, 2026 and December 31, 2025. In June 2025, the Company contributed $80.0 million, to People Inc., which People Inc. subsequently distributed to the Company in July 2025. The June contribution resulted in an improvement to People Inc.’s consolidated net leverage ratio that enabled People Inc. to reduce the interest rate on the Term Loan A-1 and the commitment fee on the Revolving Facility during the third quarter of 2025.</w:t>
      </w:r>
    </w:p>
    <w:p>
      <w:pPr>
        <w:spacing w:after="0" w:line="18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obligations under the governing agreements are secured by substantially all of the assets of People Inc. and its subsidiaries and are guaranteed by certain People Inc. wholly-owned domestic subsidiaries.</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Pursuant to the governing agreements, the borrower, People Inc., is required to provide the administrative agent, JPMorgan Chase Bank, N.A., and lenders with certain financial information. See “</w:t>
      </w:r>
      <w:r>
        <w:rPr>
          <w:rFonts w:ascii="Times New Roman" w:cs="Times New Roman" w:eastAsia="Times New Roman" w:hAnsi="Times New Roman"/>
          <w:sz w:val="18"/>
          <w:szCs w:val="18"/>
          <w:u w:val="single" w:color="auto"/>
          <w:color w:val="0000FF"/>
        </w:rPr>
        <w:t>Note 14—People Inc. Financial Information</w:t>
      </w:r>
      <w:r>
        <w:rPr>
          <w:rFonts w:ascii="Times New Roman" w:cs="Times New Roman" w:eastAsia="Times New Roman" w:hAnsi="Times New Roman"/>
          <w:sz w:val="18"/>
          <w:szCs w:val="18"/>
          <w:color w:val="auto"/>
        </w:rPr>
        <w:t>” for additional information.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Long-term Debt Maturities: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Term Loan A-1 requires quarterly principal payments of $4.4 million through December 31, 2027, $8.8 million thereafter through December 31, 2028 and $13.1 million thereafter through maturity. The Term Loan B-2 requires quarterly principal payments, which commenced on March 31, 2026, of $1.8 million through maturity. Annually, the Term Loan B-2 may require additional principal payments as part of an excess cash flow sweep provision, the amount of which is determined, in part, by People Inc.’s applicable net leverage ratio and is further subject to the excess cash flow exceeding certain thresholds as defined in the governing agreements. No such payment was required on the Term Loan B-2 related to the period ended December 31, 2025.</w:t>
      </w:r>
    </w:p>
    <w:p>
      <w:pPr>
        <w:spacing w:after="0" w:line="183"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Any time prior to June 15, 2028, People Inc. may provide notice pursuant to the Indenture to redeem all or a part of the 2032 Notes at a redemption price equal to 100% of the principal amount of the 2032 Notes to be redeemed, plus a premium defined in the Indenture and accrued and unpaid interest. Thereafter, the 2032 Notes may be redeemed at the prices set forth in the Indenture, plus accrued and unpaid interest.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 and Interest Rate Swaps: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the Term Loan A-1 bore interest at SOFR plus 2.00%, or 5.90% and 5.73%, respectively. At September 30, 2026 and December 31, 2025, the Term Loan B-2 bore interest at SOFR, subject to a minimum of 0.50%, plus 3.50%, or 7.18% and 7.37%, respectively. Interest payments are due at least quarterly through the respective maturity dates of the Term Loans.</w:t>
      </w:r>
    </w:p>
    <w:p>
      <w:pPr>
        <w:spacing w:after="0" w:line="17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 then the interest rate swaps would be fixed in a range from approximately 7.32% to 7.42% as determined by the governing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340" w:right="276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People Inc. has designated the interest rate swaps as cash flow hedges and applies hedge accounting to these contracts in accordance with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Hedge effectiveness was assessed at the time of entering into the interest rate swaps and it was determined they are expected to be highly effective. People Inc. evaluates the hedge effectiveness of the interest rate swaps quarterly, or more frequently, if necessary, by verifying (i) that the critical terms of the interest rate swaps continue to match the critical terms of the hedged interest payments and (ii) that it is probable the counterparties will not default. If the two requirements are met, the interest rate swaps are determined to be effective and all changes in the fair value of the interest rate swaps are recorded in “Accumulated other comprehensive loss.” As cash flow hedges, the interest rate swaps are recognized at fair value on the balance sheet as either assets or liabilities, with the changes in fair value recorded in “Accumulated other comprehensive loss” in the balance sheet. Realized gains or losses are reclassified into “Interest expense” in the statement of operations. The cash flows related to interest settlements of the hedged monthly interest payments are classified as operating activities in the statement of cash flows, consistent with the interest expense on the related debt instrument. See “</w:t>
      </w:r>
      <w:r>
        <w:rPr>
          <w:rFonts w:ascii="Times New Roman" w:cs="Times New Roman" w:eastAsia="Times New Roman" w:hAnsi="Times New Roman"/>
          <w:sz w:val="18"/>
          <w:szCs w:val="18"/>
          <w:u w:val="single" w:color="auto"/>
          <w:color w:val="0000FF"/>
        </w:rPr>
        <w:t>Note 5—Accumulated Other Comprehensive Loss</w:t>
      </w:r>
      <w:r>
        <w:rPr>
          <w:rFonts w:ascii="Times New Roman" w:cs="Times New Roman" w:eastAsia="Times New Roman" w:hAnsi="Times New Roman"/>
          <w:sz w:val="18"/>
          <w:szCs w:val="18"/>
          <w:color w:val="auto"/>
        </w:rPr>
        <w:t>” for the net unrealized gains and losses before reclassifications in “Accumulated other comprehensive loss” and realized gains and losses reclassified into “Interest expense” for the three and nine months ended September 30, 2026 and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June 22, 2026, the Company entered into a voting agreement (the “Diller Voting Agreement”) with Barry Diller, Diane von Furstenberg and Alexander von Furstenberg (the “Voting Agreement Parties”). Pursuant to the Diller Voting Agreement, the Voting Agreement Parties agreed to, and to use commercially reasonable efforts to cause other affiliated persons and entities to, cause any shares of Company voting securities they beneficially own representing in excess of 48.5% of the Company's total voting power to be voted in the same proportion as the Company's other voting stockholders (other than the Voting Agreement Parties, certain of their affiliated persons and entities, certain directors and officers of People Incorporated, and immediate family members of the foregoing) on each matter brought before the Company's stockholders at an annual or special meeting or by written consent of Company stockholders. The proportional voting requirement does not apply to certain matters, including matters requiring a separate class vote, unless specified ownership thresholds are met.</w:t>
      </w:r>
    </w:p>
    <w:p>
      <w:pPr>
        <w:spacing w:after="0" w:line="192"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Diller Voting Agreement also provides that the Voting Agreement Parties and certain of their affiliated persons and entities will not initiate or participate in any action by written consent of the Company's stockholders unless directed by an independent committee of disinterested directors of the Company's board of directors.</w:t>
      </w:r>
    </w:p>
    <w:p>
      <w:pPr>
        <w:spacing w:after="0" w:line="17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Diller Voting Agreement automatically terminates upon the earlier of: (a) the Voting Agreement Parties and their affiliates collectively ceasing to beneficially own at least 30% of the Company's total voting power; or (b) a change of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June 16, 2026, in connection with the execution of the Diller Voting Agreement, described above, the board of directors of the Company approved an authorization for the Company to repurchase an additional 10 million shares of the Company’s common stock. At September 30, 2026, the Company has 12.5 million shares remaining under its authorization.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loss, net of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0" w:type="dxa"/>
            <w:vAlign w:val="bottom"/>
          </w:tcPr>
          <w:p>
            <w:pPr>
              <w:spacing w:after="0"/>
              <w:rPr>
                <w:sz w:val="16"/>
                <w:szCs w:val="16"/>
                <w:color w:val="auto"/>
              </w:rPr>
            </w:pPr>
          </w:p>
        </w:tc>
        <w:tc>
          <w:tcPr>
            <w:tcW w:w="3940" w:type="dxa"/>
            <w:vAlign w:val="bottom"/>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3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1"/>
                <w:szCs w:val="11"/>
                <w:color w:val="auto"/>
              </w:rPr>
            </w:pPr>
          </w:p>
        </w:tc>
        <w:tc>
          <w:tcPr>
            <w:tcW w:w="1420" w:type="dxa"/>
            <w:vAlign w:val="bottom"/>
            <w:tcBorders>
              <w:top w:val="single" w:sz="8" w:color="auto"/>
            </w:tcBorders>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400" w:type="dxa"/>
            <w:vAlign w:val="bottom"/>
            <w:tcBorders>
              <w:top w:val="single" w:sz="8" w:color="auto"/>
            </w:tcBorders>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3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On Interest Rate</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Gains On Interest</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0" w:type="dxa"/>
            <w:vAlign w:val="bottom"/>
          </w:tcPr>
          <w:p>
            <w:pPr>
              <w:spacing w:after="0"/>
              <w:rPr>
                <w:sz w:val="1"/>
                <w:szCs w:val="1"/>
                <w:color w:val="auto"/>
              </w:rPr>
            </w:pPr>
          </w:p>
        </w:tc>
      </w:tr>
      <w:tr>
        <w:trPr>
          <w:trHeight w:val="156"/>
        </w:trPr>
        <w:tc>
          <w:tcPr>
            <w:tcW w:w="29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56"/>
        </w:trPr>
        <w:tc>
          <w:tcPr>
            <w:tcW w:w="29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current period other</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00" w:type="dxa"/>
            <w:vAlign w:val="bottom"/>
          </w:tcPr>
          <w:p>
            <w:pPr>
              <w:spacing w:after="0"/>
              <w:rPr>
                <w:sz w:val="24"/>
                <w:szCs w:val="24"/>
                <w:color w:val="auto"/>
              </w:rPr>
            </w:pPr>
          </w:p>
        </w:tc>
        <w:tc>
          <w:tcPr>
            <w:tcW w:w="3940" w:type="dxa"/>
            <w:vAlign w:val="bottom"/>
            <w:gridSpan w:val="7"/>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38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3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1"/>
                <w:szCs w:val="11"/>
                <w:color w:val="auto"/>
              </w:rPr>
            </w:pPr>
          </w:p>
        </w:tc>
        <w:tc>
          <w:tcPr>
            <w:tcW w:w="142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3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Gains On Interest</w:t>
            </w: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(Losses) On Interest</w:t>
            </w:r>
          </w:p>
        </w:tc>
        <w:tc>
          <w:tcPr>
            <w:tcW w:w="140" w:type="dxa"/>
            <w:vAlign w:val="bottom"/>
          </w:tcPr>
          <w:p>
            <w:pPr>
              <w:spacing w:after="0"/>
              <w:rPr>
                <w:sz w:val="11"/>
                <w:szCs w:val="11"/>
                <w:color w:val="auto"/>
              </w:rPr>
            </w:pPr>
          </w:p>
        </w:tc>
        <w:tc>
          <w:tcPr>
            <w:tcW w:w="1180" w:type="dxa"/>
            <w:vAlign w:val="bottom"/>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40" w:type="dxa"/>
            <w:vAlign w:val="bottom"/>
          </w:tcPr>
          <w:p>
            <w:pPr>
              <w:spacing w:after="0"/>
              <w:rPr>
                <w:sz w:val="16"/>
                <w:szCs w:val="16"/>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155"/>
        </w:trPr>
        <w:tc>
          <w:tcPr>
            <w:tcW w:w="29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155"/>
        </w:trPr>
        <w:tc>
          <w:tcPr>
            <w:tcW w:w="29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current period other</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allocated to noncontrolling interests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during the period</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Angi</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amount reclassified out of foreign currency translation adjustment into earnings for the nine months ended September 30, 2026 relates to the sale of Care.com on March 16, 2026 and is recorded in “Loss on the sale of Care.com, net of income taxes” in the statement of operations.</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$0.6 million is expected to be reclassified into interest expense as net realized gains related to interest rate swaps, which mature on April 1, 2027.</w:t>
      </w:r>
    </w:p>
    <w:p>
      <w:pPr>
        <w:spacing w:after="0" w:line="162"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and 2025, there was $0.2 million of deferred income tax provision and $0.5 million of deferred income tax benefit, respectively, related to unrealized gains and losses on interest rate swaps.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340" w:right="276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6—SEGMENT INFORMATION</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overall concept that the Company employs in determining its operating segments is to present the financial information in a manner consistent with the chief operating decision maker’s (“CODM”) view of the businesses. The Office of the Chairman, which is comprised of certain executives and members of the board of directors, is the CODM of the Company. In determining our operating segments, we consider how the businesses are organized as to segment management and the focus of the businesses with regards to the types of services or products offered or the target market. In the case of Emerging &amp; Other, operating segments are combined for reporting purposes because they do not meet the quantitative thresholds that require presentation as separate reportable segments.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revenue by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2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791,686</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474,127</w:t>
            </w:r>
          </w:p>
        </w:tc>
      </w:tr>
      <w:tr>
        <w:trPr>
          <w:trHeight w:val="229"/>
        </w:trPr>
        <w:tc>
          <w:tcPr>
            <w:tcW w:w="52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People Inc.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1,250,268</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447,115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1,301,719</w:t>
            </w:r>
          </w:p>
        </w:tc>
      </w:tr>
      <w:tr>
        <w:trPr>
          <w:trHeight w:val="21"/>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180" w:hanging="328"/>
        <w:spacing w:after="0" w:line="239" w:lineRule="auto"/>
        <w:tabs>
          <w:tab w:leader="none" w:pos="58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w:t>
      </w:r>
    </w:p>
    <w:p>
      <w:pPr>
        <w:spacing w:after="0" w:line="108"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Intersegment eliminations relate to People Inc. Digital performance marketing commissions earned for the placement of magazine subscriptions.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revenue of the Company’s segments disaggregated by type of service: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495,038</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190,716</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105,932</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Digital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791,686</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219,110</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112,732</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Newsstand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80,134</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Project and other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Performance marketing revenue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19,031</w:t>
            </w: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Print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474,127</w:t>
            </w: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1,250,268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Session-based revenue is related to advertisements served or performance marketing referrals initiated during a session, which is defined as a unique visit to a site that is part of the People Inc.’s network. Session-based revenue includes Advertising and Performance marketing revenue earned from People Inc.’s owned and operated or affiliated sites. Non-session-based revenue is related to revenue not dependent upon a session and primarily includes Advertising and Performance marketing revenue earned outside a session on People Inc.’s owned and operated or affiliated sites, such as D/Cipher+, native campaigns, social platforms, email and affinity marketing and all Licensing and other revenue. The following table presents Digital revenue further disaggregated by session and non-session-based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Session-based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478,634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491,636</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Non-session-based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Digital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791,686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Expenses</w:t>
      </w:r>
    </w:p>
    <w:p>
      <w:pPr>
        <w:spacing w:after="0" w:line="22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significant segment expenses regularly provided to the CODM for each of the Company’s reportable segments that are included in determining Segment Adjusted Earnings Before Interest, Taxes, Depreciation and Amortization (“EBITDA”), which is the Company’s segment reporting performance measure: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247,728</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201,730</w:t>
            </w: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80,131</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84,226</w:t>
            </w: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Digital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613,815</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222,641</w:t>
            </w: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174,960</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Print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431,055</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(unallocated corporate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31,404</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1,060,729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 Performance Measure and Reconciliations</w:t>
      </w:r>
    </w:p>
    <w:p>
      <w:pPr>
        <w:spacing w:after="0" w:line="2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Adjusted EBITDA is the segment reporting performance measure used by the CODM as one of the metrics by which we evaluate the performance of our businesses and our internal budgets are based and may impact management compensation. Adjusted EBITDA is defined as operating income excluding: (1) stock-based 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w:t>
      </w:r>
    </w:p>
    <w:p>
      <w:pPr>
        <w:spacing w:after="0" w:line="192" w:lineRule="exact"/>
        <w:rPr>
          <w:sz w:val="20"/>
          <w:szCs w:val="20"/>
          <w:color w:val="auto"/>
        </w:rPr>
      </w:pPr>
    </w:p>
    <w:p>
      <w:pPr>
        <w:ind w:left="80" w:right="260" w:firstLine="405"/>
        <w:spacing w:after="0" w:line="246" w:lineRule="auto"/>
        <w:rPr>
          <w:sz w:val="20"/>
          <w:szCs w:val="20"/>
          <w:color w:val="auto"/>
        </w:rPr>
      </w:pPr>
      <w:r>
        <w:rPr>
          <w:rFonts w:ascii="Times New Roman" w:cs="Times New Roman" w:eastAsia="Times New Roman" w:hAnsi="Times New Roman"/>
          <w:sz w:val="18"/>
          <w:szCs w:val="18"/>
          <w:color w:val="auto"/>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w:t>
      </w:r>
    </w:p>
    <w:p>
      <w:pPr>
        <w:spacing w:after="0" w:line="1" w:lineRule="exact"/>
        <w:rPr>
          <w:sz w:val="20"/>
          <w:szCs w:val="20"/>
          <w:color w:val="auto"/>
        </w:rPr>
      </w:pPr>
    </w:p>
    <w:p>
      <w:pPr>
        <w:jc w:val="both"/>
        <w:ind w:left="80" w:right="140" w:firstLine="9"/>
        <w:spacing w:after="0" w:line="242"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has been recast to reflect the revised definition for all periods presented.</w:t>
      </w:r>
    </w:p>
    <w:p>
      <w:pPr>
        <w:spacing w:after="0" w:line="19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Segment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People Inc.</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71,957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177,871</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(unallocated corporate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(9,934)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(31,404)</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People Inc.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189,539</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total Segment Adjusted EBITDA to loss from continuing operations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56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74,204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200,303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Adjusted EBITDA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(66,522)</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(67,357)</w:t>
            </w: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Restructuring costs, including certain severance and employee</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separation benefits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Gains and (losses) from lease impairments, terminations and</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amendments and certain asset sales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matters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(93,117)</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 in MGM Resorts International</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(1,119,943)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(364,256)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185,770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210,400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(963,268)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hanging="328"/>
        <w:spacing w:after="0" w:line="275" w:lineRule="auto"/>
        <w:tabs>
          <w:tab w:leader="none" w:pos="58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nine months ended September 30, 2025 reflect the reversal of $49.8 million of previously recognized stock-based compensation expense related to the forfeiture of our former Chief Executive Officer’s (“CEO”) restricted stock award pursuant to an employment transition agreement (the “Employment Transition Agreement”) entered into on January 13, 2025, partially offset by $14.9 million of stock-based compensation expense related to the transfer of 5.0 million Class B shares of Angi held by the Company to our former CEO prior to the Distribution pursuant to the Employment Transition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asset information is not regularly presented to the CODM.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24,982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25,337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7—PENSION AND POST-RETIREMENT BENEFIT PLANS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net periodic benefit (credit) cost for the People Inc. pension and post-retirement benefit plans: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gridSpan w:val="8"/>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460" w:type="dxa"/>
            <w:vAlign w:val="bottom"/>
          </w:tcPr>
          <w:p>
            <w:pPr>
              <w:spacing w:after="0"/>
              <w:rPr>
                <w:sz w:val="16"/>
                <w:szCs w:val="16"/>
                <w:color w:val="auto"/>
              </w:rPr>
            </w:pPr>
          </w:p>
        </w:tc>
        <w:tc>
          <w:tcPr>
            <w:tcW w:w="3640" w:type="dxa"/>
            <w:vAlign w:val="bottom"/>
            <w:gridSpan w:val="7"/>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2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96"/>
        </w:trPr>
        <w:tc>
          <w:tcPr>
            <w:tcW w:w="29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96"/>
        </w:trPr>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 recognition</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524"/>
        </w:trPr>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8"/>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60" w:type="dxa"/>
            <w:vAlign w:val="bottom"/>
          </w:tcPr>
          <w:p>
            <w:pPr>
              <w:spacing w:after="0"/>
              <w:rPr>
                <w:sz w:val="24"/>
                <w:szCs w:val="24"/>
                <w:color w:val="auto"/>
              </w:rPr>
            </w:pPr>
          </w:p>
        </w:tc>
        <w:tc>
          <w:tcPr>
            <w:tcW w:w="3640" w:type="dxa"/>
            <w:vAlign w:val="bottom"/>
            <w:gridSpan w:val="7"/>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2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96"/>
        </w:trPr>
        <w:tc>
          <w:tcPr>
            <w:tcW w:w="29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96"/>
        </w:trPr>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 recognition</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periodic benefit (credit) cost are included in “Other income (expense), net” in the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At the end of each interim period, the Company estimates the annual effective income tax rate and applies that rate to its ordinary year-to-date earnings or loss. The income tax provision or benefit related to significant, unusual or extraordinary items, if applicable, that will be separately reported or reported net of their related tax effects are individually computed and recognized in the interim period in which they occur. In addition, the effect of changes in enacted tax laws or rates, tax status, judgment on the realizability of a beginning-of-the-year deferred income tax asset in future years or unrecognized tax benefits is recognized in the interim period in which the change occurs.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17"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The computation of the estimated annual effective income tax rate at each interim period requires certain estimates and assumptions including, but not limited to, the expected pre-tax income (or loss) for the year, projections of the proportion of income (and/or loss) earned and taxed in foreign jurisdictions, permanent and temporary differences and the likelihood of the realization of deferred income tax assets generated in the current year. The accounting estimates used to compute the provision or benefit for income taxes may change as new events occur, more experience is acquired, additional information is obtained or the Company’s income tax environment changes. To the extent that the estimated annual effective income tax rate changes during a quarter, the effect of the change on prior quarters is included in income tax provision or benefit in the quarter in which the change occurs. Included in the income tax provision for the three months ended September 30, 2026 was a benefit of $5.6 million due to a higher estimated annual effective income tax rate from that applied to the first half of the year’s ordinary loss. The higher estimated annual effective rate was due primarily to an increase in forecasted non-deductible executive compensation costs.</w:t>
      </w:r>
    </w:p>
    <w:p>
      <w:pPr>
        <w:spacing w:after="0" w:line="22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recorded an income tax benefit of $278.4 million, which represents an effective income tax rate of 29%, which was higher than the statutory rate of 21% due primarily to the realization of a capital loss and state taxes. For the nine months ended September 30, 2026, the Company recorded an income tax benefit of $111.1 million, which represents an effective income tax rate of 40%, which was higher than the statutory rate of 21% due primarily to the realization of a capital loss and state taxes, partially offset by research credits. For the three months ended September 30, 2025, the Company recorded an income tax benefit of $3.1 million, which represents an effective income tax rate of 6%, which was lower than the statutory rate of 21% due primarily to non-deductible compensation expense and state taxes, partially offset by excess tax benefits generated by the exercise of stock-based awards and research credits. For the nine months ended September 30, 2025, the Company recorded an income tax benefit of $3.5 million, which represents an effective income tax rate of 3%, which was lower than the statutory rate of 21% due primarily to non-deductible compensation expense, a deferred tax adjustment and state taxes, partially offset by research credits.</w:t>
      </w:r>
    </w:p>
    <w:p>
      <w:pPr>
        <w:spacing w:after="0" w:line="188"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As a result of the Distribution, the Company has allocated to Angi a portion of the tax attributes related to the consolidated federal and state tax filings pursuant to the Internal Revenue Code and applicable state law. This allocation requires that the Company’s net deferred income tax liability be adjusted in the year of the Distribution with a corresponding adjustment to additional paid-in capital. The allocation of attributes that was recorded as of December 31, 2025 was preliminary. A subsequent adjustment is expected to be made in the fourth quarter of 2026 following the filing of income tax returns for the year ended December 31, 2025. Further amendments could be required based upon amendments to the Company’s taxable income for periods prior to the Distribution and potential tax audits in the future.</w:t>
      </w:r>
    </w:p>
    <w:p>
      <w:pPr>
        <w:spacing w:after="0" w:line="18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is routinely under audit by federal, state, local and foreign authorities in the area of income tax. These audits include questioning the timing and the amount of income and deductions and the allocation of income and deductions among various tax jurisdictions. The IRS is currently auditing the Company’s federal income tax return for the year ended December 31, 2023. Returns filed in various other jurisdictions are open to examination for tax years beginning with 2015. Income taxes payable include unrecognized tax benefits considered sufficient to pay assessments that may result from the examination of prior year tax returns. The Company considers many factors when evaluating and estimating its tax positions and tax benefits, which may not accurately anticipate actual outcomes and, therefore, may require periodic adjustment. Although management currently believes changes in unrecognized tax benefits from period to period and differences between amounts paid, if any, upon resolution of issues raised in audits and amounts previously provided will not have a material impact on the liquidity, results of operations, or financial condition of the Company, these matters are subject to inherent uncertainties and management’s view of these matters may change in the future.</w:t>
      </w:r>
    </w:p>
    <w:p>
      <w:pPr>
        <w:spacing w:after="0" w:line="18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related to unrecognized tax benefits in the income tax provision. At September 30, 2026 and December 31, 2025, accruals for interest and penalties are not material.</w:t>
      </w:r>
    </w:p>
    <w:p>
      <w:pPr>
        <w:spacing w:after="0" w:line="16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unrecognized tax benefits, including interest and penalties, were $13.8 million and $13.0 million, respectively. Unrecognized tax benefits, including interest and penalties, at September 30, 2026 increased by $0.8 million due primarily to research credits, partially offset by a settlement. If unrecognized tax benefits at September 30, 2026 are subsequently recognized, $12.9 million, net of related deferred income tax assets and interest, would reduce income tax expense. The comparable amount at December 31, 2025 was $12.1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9—LOSS PER SHARE</w:t>
      </w:r>
    </w:p>
    <w:p>
      <w:pPr>
        <w:spacing w:after="0" w:line="2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treats its common stock and Class B common stock as one class of stock for net earnings (loss) per share (“EPS”) purposes as both classes of stock participate in earnings, dividends and other distributions on the same basis.</w:t>
      </w:r>
    </w:p>
    <w:p>
      <w:pPr>
        <w:spacing w:after="0" w:line="16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Basic EPS is computed by dividing net earnings (loss) attributable to holders of the Company’s common stock and Class B common stock by the weighted-average number of shares of common stock and Class B common stock outstanding during the period.</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Diluted EPS is computed by dividing net earnings (loss) attributable to holders of the Company’s common stock and Class B common stock by the weighted-average number of common stock and Class B common stock outstanding plus dilutive securities, if applicable, during the period.</w:t>
      </w:r>
    </w:p>
    <w:p>
      <w:pPr>
        <w:spacing w:after="0" w:line="16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numerator and denominator of basic and diluted EPS computations for the Company’s common stock and Class B common stock are calculated as follows:</w:t>
      </w:r>
    </w:p>
    <w:p>
      <w:pPr>
        <w:spacing w:after="0" w:line="196" w:lineRule="exact"/>
        <w:rPr>
          <w:sz w:val="20"/>
          <w:szCs w:val="20"/>
          <w:color w:val="auto"/>
        </w:rPr>
      </w:pPr>
    </w:p>
    <w:tbl>
      <w:tblPr>
        <w:tblLayout w:type="fixed"/>
        <w:tblInd w:w="5240" w:type="dxa"/>
        <w:tblCellMar>
          <w:top w:w="0" w:type="dxa"/>
          <w:left w:w="0" w:type="dxa"/>
          <w:bottom w:w="0" w:type="dxa"/>
          <w:right w:w="0" w:type="dxa"/>
        </w:tblCellMar>
      </w:tblPr>
      <w:tr>
        <w:trPr>
          <w:trHeight w:val="190"/>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13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1360" w:type="dxa"/>
            <w:vAlign w:val="bottom"/>
          </w:tcPr>
          <w:p>
            <w:pPr>
              <w:spacing w:after="0"/>
              <w:rPr>
                <w:sz w:val="16"/>
                <w:szCs w:val="16"/>
                <w:color w:val="auto"/>
              </w:rPr>
            </w:pPr>
          </w:p>
        </w:tc>
        <w:tc>
          <w:tcPr>
            <w:tcW w:w="32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360" w:type="dxa"/>
            <w:vAlign w:val="bottom"/>
          </w:tcPr>
          <w:p>
            <w:pPr>
              <w:spacing w:after="0"/>
              <w:rPr>
                <w:sz w:val="16"/>
                <w:szCs w:val="16"/>
                <w:color w:val="auto"/>
              </w:rPr>
            </w:pPr>
          </w:p>
        </w:tc>
      </w:tr>
    </w:tbl>
    <w:p>
      <w:pPr>
        <w:spacing w:after="0" w:line="3"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Net loss from continuing operations</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right="920"/>
        <w:spacing w:after="0" w:line="234" w:lineRule="auto"/>
        <w:rPr>
          <w:sz w:val="20"/>
          <w:szCs w:val="20"/>
          <w:color w:val="auto"/>
        </w:rPr>
      </w:pPr>
      <w:r>
        <w:rPr>
          <w:rFonts w:ascii="Times New Roman" w:cs="Times New Roman" w:eastAsia="Times New Roman" w:hAnsi="Times New Roman"/>
          <w:sz w:val="18"/>
          <w:szCs w:val="18"/>
          <w:color w:val="auto"/>
        </w:rPr>
        <w:t>Net (earnings) loss from continuing operations attributable to noncontrolling interests</w:t>
      </w:r>
    </w:p>
    <w:p>
      <w:pPr>
        <w:spacing w:after="0" w:line="10"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Net loss from continuing operations attributable to People Incorporated common stock and Class B common stock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(684,900)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(110,607)</w:t>
            </w:r>
          </w:p>
        </w:tc>
      </w:tr>
      <w:tr>
        <w:trPr>
          <w:trHeight w:val="418"/>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(2,431)</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398"/>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(687,331)</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(109,919)</w:t>
            </w:r>
          </w:p>
        </w:tc>
      </w:tr>
    </w:tbl>
    <w:p>
      <w:pPr>
        <w:spacing w:after="0" w:line="200" w:lineRule="exact"/>
        <w:rPr>
          <w:sz w:val="20"/>
          <w:szCs w:val="20"/>
          <w:color w:val="auto"/>
        </w:rPr>
      </w:pPr>
    </w:p>
    <w:p>
      <w:pPr>
        <w:sectPr>
          <w:pgSz w:w="11900" w:h="16838" w:orient="portrait"/>
          <w:cols w:equalWidth="0" w:num="2">
            <w:col w:w="5360" w:space="580"/>
            <w:col w:w="5300"/>
          </w:cols>
          <w:pgMar w:left="320" w:top="118"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 of income taxes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from discontinued operations attributable to</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earnings from discontinued operations attributable to People</w:t>
            </w: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Incorporated common stock and Class B common stock shareholders</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People Incorporated common stock and Class B</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(687,491)</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100" w:type="dxa"/>
            <w:vAlign w:val="bottom"/>
          </w:tcPr>
          <w:p>
            <w:pPr>
              <w:spacing w:after="0"/>
              <w:rPr>
                <w:sz w:val="13"/>
                <w:szCs w:val="13"/>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(252,522)</w:t>
            </w:r>
          </w:p>
        </w:tc>
        <w:tc>
          <w:tcPr>
            <w:tcW w:w="8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basic People Incorporated common stock and Class</w:t>
            </w: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80,804</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 common stock shares outstanding</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from continuing operations attributable to People</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common stock and Class B common stock shareholders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per share from discontinued operations, net of income</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taxes, attributable to People Incorporated common stock and Class B</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per share attributable to People Incorporated common stock and</w:t>
            </w: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3"/>
                <w:szCs w:val="13"/>
                <w:color w:val="auto"/>
              </w:rPr>
            </w:pPr>
          </w:p>
        </w:tc>
        <w:tc>
          <w:tcPr>
            <w:tcW w:w="4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shareholders</w:t>
            </w: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64" w:lineRule="exact"/>
        <w:rPr>
          <w:sz w:val="20"/>
          <w:szCs w:val="20"/>
          <w:color w:val="auto"/>
        </w:rPr>
      </w:pPr>
    </w:p>
    <w:tbl>
      <w:tblPr>
        <w:tblLayout w:type="fixed"/>
        <w:tblInd w:w="5240" w:type="dxa"/>
        <w:tblCellMar>
          <w:top w:w="0" w:type="dxa"/>
          <w:left w:w="0" w:type="dxa"/>
          <w:bottom w:w="0" w:type="dxa"/>
          <w:right w:w="0" w:type="dxa"/>
        </w:tblCellMar>
      </w:tblPr>
      <w:tr>
        <w:trPr>
          <w:trHeight w:val="190"/>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13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1360" w:type="dxa"/>
            <w:vAlign w:val="bottom"/>
          </w:tcPr>
          <w:p>
            <w:pPr>
              <w:spacing w:after="0"/>
              <w:rPr>
                <w:sz w:val="16"/>
                <w:szCs w:val="16"/>
                <w:color w:val="auto"/>
              </w:rPr>
            </w:pPr>
          </w:p>
        </w:tc>
        <w:tc>
          <w:tcPr>
            <w:tcW w:w="32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360" w:type="dxa"/>
            <w:vAlign w:val="bottom"/>
          </w:tcPr>
          <w:p>
            <w:pPr>
              <w:spacing w:after="0"/>
              <w:rPr>
                <w:sz w:val="16"/>
                <w:szCs w:val="16"/>
                <w:color w:val="auto"/>
              </w:rPr>
            </w:pPr>
          </w:p>
        </w:tc>
      </w:tr>
    </w:tbl>
    <w:p>
      <w:pPr>
        <w:spacing w:after="0" w:line="3"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Net loss from continuing operations</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right="920"/>
        <w:spacing w:after="0" w:line="234" w:lineRule="auto"/>
        <w:rPr>
          <w:sz w:val="20"/>
          <w:szCs w:val="20"/>
          <w:color w:val="auto"/>
        </w:rPr>
      </w:pPr>
      <w:r>
        <w:rPr>
          <w:rFonts w:ascii="Times New Roman" w:cs="Times New Roman" w:eastAsia="Times New Roman" w:hAnsi="Times New Roman"/>
          <w:sz w:val="18"/>
          <w:szCs w:val="18"/>
          <w:color w:val="auto"/>
        </w:rPr>
        <w:t>Net (earnings) loss from continuing operations attributable to noncontrolling interests</w:t>
      </w:r>
    </w:p>
    <w:p>
      <w:pPr>
        <w:spacing w:after="0" w:line="10"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Net loss from continuing operations attributable to People Incorporated common stock and Class B common stock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(684,900)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(110,607)</w:t>
            </w:r>
          </w:p>
        </w:tc>
      </w:tr>
      <w:tr>
        <w:trPr>
          <w:trHeight w:val="418"/>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(2,431)</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398"/>
        </w:trPr>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(687,331)</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-8255</wp:posOffset>
            </wp:positionV>
            <wp:extent cx="9086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580"/>
            <w:col w:w="5300"/>
          </w:cols>
          <w:pgMar w:left="320" w:top="118"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the sale of Care.com, net of income taxes</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 of income taxes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from discontinued operations attributable to</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156"/>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earnings from discontinued operations attributable to People</w:t>
            </w: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Incorporated common stock and Class B common stock shareholders</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People Incorporated common stock and Class B</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(687,491)</w:t>
            </w:r>
          </w:p>
        </w:tc>
        <w:tc>
          <w:tcPr>
            <w:tcW w:w="10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100" w:type="dxa"/>
            <w:vAlign w:val="bottom"/>
          </w:tcPr>
          <w:p>
            <w:pPr>
              <w:spacing w:after="0"/>
              <w:rPr>
                <w:sz w:val="13"/>
                <w:szCs w:val="13"/>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(252,522)</w:t>
            </w:r>
          </w:p>
        </w:tc>
        <w:tc>
          <w:tcPr>
            <w:tcW w:w="8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basic People Incorporated common stock and Class</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 common stock shares outstanding</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Dilutive securities</w:t>
            </w:r>
            <w:r>
              <w:rPr>
                <w:rFonts w:ascii="Times New Roman" w:cs="Times New Roman" w:eastAsia="Times New Roman" w:hAnsi="Times New Roman"/>
                <w:sz w:val="23"/>
                <w:szCs w:val="23"/>
                <w:color w:val="auto"/>
                <w:vertAlign w:val="superscript"/>
              </w:rPr>
              <w:t>(a)</w:t>
            </w: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Denominator for earnings per share—weighted average shares</w:t>
            </w:r>
            <w:r>
              <w:rPr>
                <w:rFonts w:ascii="Times New Roman" w:cs="Times New Roman" w:eastAsia="Times New Roman" w:hAnsi="Times New Roman"/>
                <w:sz w:val="23"/>
                <w:szCs w:val="23"/>
                <w:color w:val="auto"/>
                <w:vertAlign w:val="superscript"/>
              </w:rPr>
              <w:t>(a)</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per share from continuing operations attributable to People</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common stock and Class B common stock shareholders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per share from discontinued operations, net of income</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taxes, attributable to People Incorporated common stock and Class B</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shareholders</w:t>
            </w: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per share attributable to People Incorporated common stock and</w:t>
            </w: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3"/>
                <w:szCs w:val="13"/>
                <w:color w:val="auto"/>
              </w:rPr>
            </w:pPr>
          </w:p>
        </w:tc>
        <w:tc>
          <w:tcPr>
            <w:tcW w:w="44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shareholders</w:t>
            </w: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160" w:hanging="328"/>
        <w:spacing w:after="0" w:line="233" w:lineRule="auto"/>
        <w:tabs>
          <w:tab w:leader="none" w:pos="533"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both the three and nine months ended September 30, 2026 and 2025 the Company had losses from continuing operations and as a result approximately 2.1 million and 3.8 million, respectively, of potentially dilutive securities were excluded from computing diluted EPS because the impact would have been anti-dilutive. Accordingly, the weighted average basic shares outstanding were used to compute the diluted EPS amounts.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to the total amounts shown in the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1,363,548</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and restricted cash included in</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436,401</w:t>
            </w: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cash included in other non-current assets of</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5"/>
        </w:trPr>
        <w:tc>
          <w:tcPr>
            <w:tcW w:w="4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and cash equivalents and restricted cash as</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shown on the statement of 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1,326,560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986,831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1,015,468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1,807,255</w:t>
            </w:r>
          </w:p>
        </w:tc>
      </w:tr>
      <w:tr>
        <w:trPr>
          <w:trHeight w:val="21"/>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Restricted cash in all periods presented principally consists of cash held in escrow related to the funded pension plan in the United Kingdom at People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cash and cash equivalents by geographic location: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People Inc.:</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230,436</w:t>
            </w: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r>
      <w:tr>
        <w:trPr>
          <w:trHeight w:val="223"/>
        </w:trPr>
        <w:tc>
          <w:tcPr>
            <w:tcW w:w="4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at People Inc.</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249,927</w:t>
            </w:r>
          </w:p>
        </w:tc>
      </w:tr>
      <w:tr>
        <w:trPr>
          <w:trHeight w:val="250"/>
        </w:trPr>
        <w:tc>
          <w:tcPr>
            <w:tcW w:w="4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entities excluding People Inc.</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1,086,888</w:t>
            </w:r>
          </w:p>
        </w:tc>
      </w:tr>
      <w:tr>
        <w:trPr>
          <w:trHeight w:val="230"/>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26,733</w:t>
            </w:r>
          </w:p>
        </w:tc>
      </w:tr>
      <w:tr>
        <w:trPr>
          <w:trHeight w:val="155"/>
        </w:trPr>
        <w:tc>
          <w:tcPr>
            <w:tcW w:w="43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at entities excluding</w:t>
            </w: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243"/>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People Inc.</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946,352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656,993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707,232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1,113,621</w:t>
            </w:r>
          </w:p>
        </w:tc>
      </w:tr>
      <w:tr>
        <w:trPr>
          <w:trHeight w:val="250"/>
        </w:trPr>
        <w:tc>
          <w:tcPr>
            <w:tcW w:w="4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1,363,548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8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Amortization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the accumulated depreciation and amortization within the balance sheet: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680" w:type="dxa"/>
            <w:vAlign w:val="bottom"/>
          </w:tcPr>
          <w:p>
            <w:pPr>
              <w:spacing w:after="0"/>
              <w:rPr>
                <w:sz w:val="13"/>
                <w:szCs w:val="13"/>
                <w:color w:val="auto"/>
              </w:rPr>
            </w:pPr>
          </w:p>
        </w:tc>
        <w:tc>
          <w:tcPr>
            <w:tcW w:w="19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3"/>
                <w:szCs w:val="13"/>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3"/>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equipment, leasehold improvements and capitalized software</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205,299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w:t>
            </w:r>
          </w:p>
        </w:tc>
      </w:tr>
      <w:tr>
        <w:trPr>
          <w:trHeight w:val="234"/>
        </w:trPr>
        <w:tc>
          <w:tcPr>
            <w:tcW w:w="2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683,583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636,395</w:t>
            </w:r>
          </w:p>
        </w:tc>
      </w:tr>
      <w:tr>
        <w:trPr>
          <w:trHeight w:val="508"/>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720" w:type="dxa"/>
            <w:vAlign w:val="bottom"/>
            <w:gridSpan w:val="4"/>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5260" w:type="dxa"/>
            <w:vAlign w:val="bottom"/>
            <w:gridSpan w:val="3"/>
          </w:tcPr>
          <w:p>
            <w:pPr>
              <w:spacing w:after="0"/>
              <w:rPr>
                <w:sz w:val="16"/>
                <w:szCs w:val="16"/>
                <w:color w:val="auto"/>
              </w:rPr>
            </w:pPr>
          </w:p>
        </w:tc>
        <w:tc>
          <w:tcPr>
            <w:tcW w:w="146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20"/>
        <w:spacing w:after="0" w:line="235" w:lineRule="auto"/>
        <w:rPr>
          <w:sz w:val="20"/>
          <w:szCs w:val="20"/>
          <w:color w:val="auto"/>
        </w:rPr>
      </w:pPr>
      <w:r>
        <w:rPr>
          <w:rFonts w:ascii="Times New Roman" w:cs="Times New Roman" w:eastAsia="Times New Roman" w:hAnsi="Times New Roman"/>
          <w:sz w:val="18"/>
          <w:szCs w:val="18"/>
          <w:color w:val="auto"/>
        </w:rPr>
        <w:t>Net gains (losses) on sales of investments and businesses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line="219" w:lineRule="auto"/>
        <w:tabs>
          <w:tab w:leader="none" w:pos="6000" w:val="left"/>
          <w:tab w:leader="none" w:pos="6760" w:val="left"/>
          <w:tab w:leader="none" w:pos="7920" w:val="left"/>
          <w:tab w:leader="none" w:pos="8280" w:val="left"/>
          <w:tab w:leader="none" w:pos="9040" w:val="left"/>
          <w:tab w:leader="none" w:pos="9800" w:val="left"/>
          <w:tab w:leader="none" w:pos="10580" w:val="left"/>
        </w:tabs>
        <w:rPr>
          <w:sz w:val="20"/>
          <w:szCs w:val="20"/>
          <w:color w:val="auto"/>
        </w:rPr>
      </w:pPr>
      <w:r>
        <w:rPr>
          <w:rFonts w:ascii="Times New Roman" w:cs="Times New Roman" w:eastAsia="Times New Roman" w:hAnsi="Times New Roman"/>
          <w:sz w:val="18"/>
          <w:szCs w:val="18"/>
          <w:color w:val="auto"/>
        </w:rPr>
        <w:t>downward adjustments to the carrying value of equity securities without $</w:t>
      </w:r>
      <w:r>
        <w:rPr>
          <w:sz w:val="20"/>
          <w:szCs w:val="20"/>
          <w:color w:val="auto"/>
        </w:rPr>
        <w:tab/>
      </w:r>
      <w:r>
        <w:rPr>
          <w:rFonts w:ascii="Times New Roman" w:cs="Times New Roman" w:eastAsia="Times New Roman" w:hAnsi="Times New Roman"/>
          <w:sz w:val="18"/>
          <w:szCs w:val="18"/>
          <w:color w:val="auto"/>
        </w:rPr>
        <w:t>174,949</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170,375</w:t>
        <w:tab/>
        <w:t>$</w:t>
      </w:r>
      <w:r>
        <w:rPr>
          <w:sz w:val="20"/>
          <w:szCs w:val="20"/>
          <w:color w:val="auto"/>
        </w:rPr>
        <w:tab/>
      </w:r>
      <w:r>
        <w:rPr>
          <w:rFonts w:ascii="Times New Roman" w:cs="Times New Roman" w:eastAsia="Times New Roman" w:hAnsi="Times New Roman"/>
          <w:sz w:val="18"/>
          <w:szCs w:val="18"/>
          <w:color w:val="auto"/>
        </w:rPr>
        <w:t>(18,845)</w:t>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readily determinable fair values </w:t>
      </w:r>
      <w:r>
        <w:rPr>
          <w:rFonts w:ascii="Times New Roman" w:cs="Times New Roman" w:eastAsia="Times New Roman" w:hAnsi="Times New Roman"/>
          <w:sz w:val="23"/>
          <w:szCs w:val="23"/>
          <w:color w:val="auto"/>
          <w:vertAlign w:val="superscript"/>
        </w:rPr>
        <w:t>(a)</w:t>
      </w:r>
    </w:p>
    <w:p>
      <w:pPr>
        <w:sectPr>
          <w:pgSz w:w="11900" w:h="16838" w:orient="portrait"/>
          <w:cols w:equalWidth="0" w:num="1">
            <w:col w:w="11240"/>
          </w:cols>
          <w:pgMar w:left="320" w:top="118"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on sale of an unutilized domain name</w:t>
      </w:r>
    </w:p>
    <w:p>
      <w:pPr>
        <w:spacing w:after="0" w:line="23" w:lineRule="exact"/>
        <w:rPr>
          <w:sz w:val="20"/>
          <w:szCs w:val="20"/>
          <w:color w:val="auto"/>
        </w:rPr>
      </w:pPr>
    </w:p>
    <w:p>
      <w:pPr>
        <w:ind w:left="20" w:right="920"/>
        <w:spacing w:after="0" w:line="213" w:lineRule="auto"/>
        <w:rPr>
          <w:sz w:val="20"/>
          <w:szCs w:val="20"/>
          <w:color w:val="auto"/>
        </w:rPr>
      </w:pPr>
      <w:r>
        <w:rPr>
          <w:rFonts w:ascii="Times New Roman" w:cs="Times New Roman" w:eastAsia="Times New Roman" w:hAnsi="Times New Roman"/>
          <w:sz w:val="18"/>
          <w:szCs w:val="18"/>
          <w:color w:val="auto"/>
        </w:rPr>
        <w:t>Loss related to the allocation of a disputed gain on a real estate transaction</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9,771</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11,326</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28,403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36,859</w:t>
            </w:r>
          </w:p>
        </w:tc>
      </w:t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7,500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(32,600)</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-350520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5480" w:space="720"/>
            <w:col w:w="50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0"/>
        </w:trPr>
        <w:tc>
          <w:tcPr>
            <w:tcW w:w="5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7" w:lineRule="exact"/>
        <w:rPr>
          <w:sz w:val="20"/>
          <w:szCs w:val="20"/>
          <w:color w:val="auto"/>
        </w:rPr>
      </w:pPr>
    </w:p>
    <w:p>
      <w:pPr>
        <w:ind w:left="660" w:right="20" w:hanging="328"/>
        <w:spacing w:after="0" w:line="233" w:lineRule="auto"/>
        <w:tabs>
          <w:tab w:leader="none" w:pos="581"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include a pre-tax gain of $174.9 million from the sale of the Company’s limited partner stake in a third-party fund. During the first quarter of 2026, the Company recorded an impairment of $4.6 million related to an equity security without a readily determinable fair value included in the fund. See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Financial Instruments and Fair Value Measurements</w:t>
      </w:r>
      <w:r>
        <w:rPr>
          <w:rFonts w:ascii="Times New Roman" w:cs="Times New Roman" w:eastAsia="Times New Roman" w:hAnsi="Times New Roman"/>
          <w:sz w:val="14"/>
          <w:szCs w:val="14"/>
          <w:color w:val="000000"/>
        </w:rPr>
        <w:t>” for additional information.</w:t>
      </w:r>
    </w:p>
    <w:p>
      <w:pPr>
        <w:spacing w:after="0" w:line="174"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0000FF"/>
        </w:rPr>
        <w:t>Note 11—Contingencies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11—CONTINGENCIES</w:t>
      </w:r>
    </w:p>
    <w:p>
      <w:pPr>
        <w:spacing w:after="0" w:line="229" w:lineRule="exact"/>
        <w:rPr>
          <w:sz w:val="20"/>
          <w:szCs w:val="20"/>
          <w:color w:val="auto"/>
        </w:rPr>
      </w:pPr>
    </w:p>
    <w:p>
      <w:pPr>
        <w:ind w:right="160"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lawsuits and other contingent matters. The Company establishes accruals for specific legal and other matters when it determines that the likelihood of an unfavorable outcome is probable and the loss is reasonably estimable. Management has also identified certain legal and other matters where it believes an unfavorable outcome is not probable and, therefore, no accrual is established. Although management currently believes that resolving claims against the Company, including claims where an unfavorable outcome is reasonably possible, and for which the Company cannot estimate a loss or range of loss, will not have a material impact on the liquidity, results of operations or financial condition of the Company, these matters are subject to inherent uncertainties and management’s view of these matters may change in the future. The Company also evaluates other contingent matters, including unrecognized tax benefits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and/or financial condition of the Company. See “</w:t>
      </w:r>
      <w:r>
        <w:rPr>
          <w:rFonts w:ascii="Times New Roman" w:cs="Times New Roman" w:eastAsia="Times New Roman" w:hAnsi="Times New Roman"/>
          <w:sz w:val="18"/>
          <w:szCs w:val="18"/>
          <w:u w:val="single" w:color="auto"/>
          <w:color w:val="0000FF"/>
        </w:rPr>
        <w:t>Note 8—Income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r>
        <w:rPr>
          <w:rFonts w:ascii="Times New Roman" w:cs="Times New Roman" w:eastAsia="Times New Roman" w:hAnsi="Times New Roman"/>
          <w:sz w:val="18"/>
          <w:szCs w:val="18"/>
          <w:color w:val="000000"/>
        </w:rPr>
        <w:t>” for information related to unrecognized tax benefits.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People Inc. Ad-Tech Antitrust Litigation against Google</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August 29, 2025, the Company’s People Inc. subsidiary filed an action in the United States District Court for the Southern District of New York against Google LLC and Alphabet Inc. (collectively, “Google”), alleging violations of federal antitrust and state law arising out of anticompetitive practices by Google in the ad-tech industry in connection with the sale of ad inventory for display on People Inc.’s online properties. The lawsuit follows on the Government’s antitrust enforcement action against Google, in which a federal district judge has ruled that Google acquired, maintained, and misused monopoly power in the publisher ad-server and ad-exchange markets, and tied use of its publisher ad server to use of its ad exchange, in violation of the Sherman Act. People Inc.’s complaint asserts federal antitrust claims for monopolization and attempted monopolization of the publisher ad-server and ad-exchange markets and for unlawful tying in violation of the Sherman Act, as well as various state-law claims, and seeks among other things declaratory and injunctive relief and damages, including treble damages, in an amount to be determined at trial.</w:t>
      </w:r>
    </w:p>
    <w:p>
      <w:pPr>
        <w:spacing w:after="0" w:line="19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People Inc.’s lawsuit is part of a consolidated multidistrict litigation comprised of similar lawsuits filed by other online publishers, all pending before the same judge in the Southern District of New York. On October 27, 2025, in a ruling in one of the earlier-filed publisher lawsuits, the presiding judge held that Google is precluded from relitigating certain issues previously decided against it in the Government’s case, including (i) that publisher ad servers and ad exchanges are separate, distinct and worldwide markets for antitrust purposes, (ii) that Google engaged in five separate types of anticompetitive conduct in willfully acquiring and maintaining monopoly power in the publisher ad-server and ad-exchange markets and (iii) that Google unlawfully tied its publisher ad server to its ad exchange in violation of the Sherman Act.</w:t>
      </w:r>
    </w:p>
    <w:p>
      <w:pPr>
        <w:spacing w:after="0" w:line="18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November 24, 2025, Google filed a motion to dismiss the state-law claims (but not the federal antitrust claims) in People Inc.’s complaint. People Inc. opposed the motion, which remains pending. Fact discovery in the case is complete, and expert discovery is underway. People Inc. intends to vigorously pursue its claims in this action, but there is no guarantee that its efforts will be successful.</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Disputed Gain on Real Estate Transaction</w:t>
      </w:r>
    </w:p>
    <w:p>
      <w:pPr>
        <w:spacing w:after="0" w:line="229"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On October 24, 2025, the Company received an adverse jury verdict in a lawsuit related to the allocation of a gain recorded in 2015 related to a real estate transaction. The original gain was $34.3 million and was initially recorded as a non-operating gain in “Other income (expense), net” in the year ended December 31, 2015. The proceeds have been and continue to be held in escrow since the transaction occurred in 2015. The total amount held in escrow at September 30, 2026 and December 31, 2025 was $39.4 million and $38.3 million, respectively. The Company recorded a net non-operating loss of $19.2 million in “Other income (expense), net” in the statement of operations in the latter half of 2025 following this verdict and the subsequent court ruling that the plaintiffs were not entitled to statutory prejudgment interest. The amounts held in escrow, net of the portion allocable to the plaintiffs, at September 30, 2026 and December 31, 2025 of $19.5 million and $19.0 million, respectively, are included in “Other current assets” in the balance sheet. The Company’s motion before the trial court to set aside the jury’s verdict remains pending.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400" w:right="270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Incorporated and Expedia Group</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At September 30, 2026, the Company and Expedia Group each have a 50% ownership interest in two aircraft that may be used by both companies. Members of the aircraft flight crews are employed by an entity in which the Company and Expedia Group each have a 50% ownership interest. Historically, the Company and Expedia Group allocated fixed costs, including flight crew compensation and benefits, 50% to each company and shared variable costs pro-rata according to each company’s respective usage of the aircraft, for which they were separately billed by the entity described above. In December of 2025, the Company and Expedia Group amended their cost sharing arrangement to reflect the allocation of all costs on a pro-rata basis according to each company’s respective usage of the aircraft, with the exception of costs related to flights taken by Mr. Diller, of which each of the Company and Expedia Group continue to be responsible for 50%. The Company and Expedia Group are related parties because Mr. Diller serves as Chairman and Senior Executive of both the Company and Expedia Group. For both the three and nine months ended September 30, 2026 and 2025, the payments made to this entity by the Company were not material.</w:t>
      </w:r>
    </w:p>
    <w:p>
      <w:pPr>
        <w:spacing w:after="0" w:line="18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Expedia Group had the use of an aircraft owned 100% by a subsidiary of the Company on a cost basis until the sale of such aircraft during the fourth quarter of 2025. For the three and nine months ended September 30, 2025, the payments made by Expedia Group to the Company pursuant to this arrangement were not material.</w:t>
      </w:r>
    </w:p>
    <w:p>
      <w:pPr>
        <w:spacing w:after="0" w:line="176"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and Expedia Group entered into an arrangement to share security costs for Mr. Diller, with each company responsible for 50% of such costs. For the three and nine months ended September 30, 2026, amounts pursuant to this arrangement were not material.</w:t>
      </w:r>
    </w:p>
    <w:p>
      <w:pPr>
        <w:spacing w:after="0" w:line="17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Expedia Group occupies office space in the Company’s New York City headquarters building. The total payments pursuant to this lease agreement, which expires September 2029, are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is party to a voting agreement with MGM and Barry Diller that was originally entered into on April 3, 2026 and amended on October 27, 2026. See “</w:t>
      </w:r>
      <w:r>
        <w:rPr>
          <w:rFonts w:ascii="Times New Roman" w:cs="Times New Roman" w:eastAsia="Times New Roman" w:hAnsi="Times New Roman"/>
          <w:sz w:val="18"/>
          <w:szCs w:val="18"/>
          <w:u w:val="single" w:color="auto"/>
          <w:color w:val="0000FF"/>
        </w:rPr>
        <w:t>Note 2—Financial Instruments and Fair Value Measurements</w:t>
      </w:r>
      <w:r>
        <w:rPr>
          <w:rFonts w:ascii="Times New Roman" w:cs="Times New Roman" w:eastAsia="Times New Roman" w:hAnsi="Times New Roman"/>
          <w:sz w:val="18"/>
          <w:szCs w:val="18"/>
          <w:color w:val="auto"/>
        </w:rPr>
        <w:t>” for additional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22, 2026, the Company entered into the Diller Voting Agreement. See “</w:t>
      </w:r>
      <w:r>
        <w:rPr>
          <w:rFonts w:ascii="Times New Roman" w:cs="Times New Roman" w:eastAsia="Times New Roman" w:hAnsi="Times New Roman"/>
          <w:sz w:val="18"/>
          <w:szCs w:val="18"/>
          <w:u w:val="single" w:color="auto"/>
          <w:color w:val="0000FF"/>
        </w:rPr>
        <w:t>Note 4—Shareholders' Equity</w:t>
      </w:r>
      <w:r>
        <w:rPr>
          <w:rFonts w:ascii="Times New Roman" w:cs="Times New Roman" w:eastAsia="Times New Roman" w:hAnsi="Times New Roman"/>
          <w:sz w:val="18"/>
          <w:szCs w:val="18"/>
          <w:color w:val="auto"/>
        </w:rPr>
        <w: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13—DISCONTINUED OPERATIONS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ceased operations of its Search segment after the expiration of the Services Agreement during the second quarter of 2026 and completed the sale of Care.com on March 16, 2026 and the Distribution of Angi on March 31, 2025. As a result of these events, Search, Care.com and Angi are presented as discontinued operations within the Company’s consolidated financial statements for all periods prior to these transactions.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1—The Company and Summary of Significant Accounting Policies</w:t>
      </w:r>
      <w:r>
        <w:rPr>
          <w:rFonts w:ascii="Times New Roman" w:cs="Times New Roman" w:eastAsia="Times New Roman" w:hAnsi="Times New Roman"/>
          <w:sz w:val="18"/>
          <w:szCs w:val="18"/>
          <w:color w:val="000000"/>
        </w:rPr>
        <w:t>” for additional information.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assets and liabilities reflected as discontinued operations in the balance sheet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Care.com</w:t>
            </w: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20" w:type="dxa"/>
            <w:vAlign w:val="bottom"/>
            <w:shd w:val="clear" w:color="auto" w:fill="CCEEFF"/>
          </w:tcPr>
          <w:p>
            <w:pPr>
              <w:spacing w:after="0"/>
              <w:rPr>
                <w:sz w:val="19"/>
                <w:szCs w:val="19"/>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20" w:type="dxa"/>
            <w:vAlign w:val="bottom"/>
            <w:tcBorders>
              <w:bottom w:val="single" w:sz="8" w:color="auto"/>
            </w:tcBorders>
          </w:tcPr>
          <w:p>
            <w:pPr>
              <w:spacing w:after="0"/>
              <w:rPr>
                <w:sz w:val="19"/>
                <w:szCs w:val="19"/>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leasehold improvements and equipment,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283,445</w:t>
            </w:r>
          </w:p>
        </w:tc>
        <w:tc>
          <w:tcPr>
            <w:tcW w:w="2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71,479</w:t>
            </w:r>
          </w:p>
        </w:tc>
        <w:tc>
          <w:tcPr>
            <w:tcW w:w="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64,309</w:t>
            </w:r>
          </w:p>
        </w:tc>
        <w:tc>
          <w:tcPr>
            <w:tcW w:w="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0" w:type="dxa"/>
            <w:vAlign w:val="bottom"/>
          </w:tcPr>
          <w:p>
            <w:pPr>
              <w:spacing w:after="0"/>
              <w:rPr>
                <w:sz w:val="19"/>
                <w:szCs w:val="19"/>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20" w:type="dxa"/>
            <w:vAlign w:val="bottom"/>
            <w:shd w:val="clear" w:color="auto" w:fill="CCEEFF"/>
          </w:tcPr>
          <w:p>
            <w:pPr>
              <w:spacing w:after="0"/>
              <w:rPr>
                <w:sz w:val="19"/>
                <w:szCs w:val="19"/>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57,165</w:t>
            </w:r>
          </w:p>
        </w:tc>
        <w:tc>
          <w:tcPr>
            <w:tcW w:w="20" w:type="dxa"/>
            <w:vAlign w:val="bottom"/>
            <w:tcBorders>
              <w:bottom w:val="single" w:sz="8" w:color="auto"/>
            </w:tcBorders>
          </w:tcPr>
          <w:p>
            <w:pPr>
              <w:spacing w:after="0"/>
              <w:rPr>
                <w:sz w:val="19"/>
                <w:szCs w:val="19"/>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shd w:val="clear" w:color="auto" w:fill="CCEEFF"/>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0"/>
        </w:trPr>
        <w:tc>
          <w:tcPr>
            <w:tcW w:w="972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The components of (loss) earnings from discontinued operations in the statement of operations consists of the following: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20" w:type="dxa"/>
            <w:vAlign w:val="bottom"/>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Care.com</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Angi</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91,027</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r>
      <w:tr>
        <w:trPr>
          <w:trHeight w:val="229"/>
        </w:trPr>
        <w:tc>
          <w:tcPr>
            <w:tcW w:w="5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w:t>
            </w: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5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86,817</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from discontinued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before income taxes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net of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200" w:hanging="328"/>
        <w:spacing w:after="0" w:line="221" w:lineRule="auto"/>
        <w:tabs>
          <w:tab w:leader="none" w:pos="575"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Angi represents $1.5 million related to non-income taxes with a corresponding adjustment to additional paid-in-capital, following the repeal of Canada’s digital service tax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6"/>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Care.com</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58,241</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67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discontinued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before income taxes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31,007</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Care.com</w:t>
            </w:r>
          </w:p>
        </w:tc>
        <w:tc>
          <w:tcPr>
            <w:tcW w:w="30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Search</w:t>
            </w:r>
          </w:p>
        </w:tc>
        <w:tc>
          <w:tcPr>
            <w:tcW w:w="20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Angi</w:t>
            </w:r>
          </w:p>
        </w:tc>
        <w:tc>
          <w:tcPr>
            <w:tcW w:w="200" w:type="dxa"/>
            <w:vAlign w:val="bottom"/>
          </w:tcPr>
          <w:p>
            <w:pPr>
              <w:spacing w:after="0"/>
              <w:rPr>
                <w:sz w:val="11"/>
                <w:szCs w:val="11"/>
                <w:color w:val="auto"/>
              </w:rPr>
            </w:pPr>
          </w:p>
        </w:tc>
        <w:tc>
          <w:tcPr>
            <w:tcW w:w="13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1"/>
                <w:szCs w:val="11"/>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691,404</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 (exclusive of depreciation shown</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138,957</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288,183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123,481</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641,459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discontinued operations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155"/>
        </w:trPr>
        <w:tc>
          <w:tcPr>
            <w:tcW w:w="38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from discontinued operations before</w:t>
            </w:r>
          </w:p>
        </w:tc>
        <w:tc>
          <w:tcPr>
            <w:tcW w:w="2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35,109</w:t>
            </w:r>
          </w:p>
        </w:tc>
        <w:tc>
          <w:tcPr>
            <w:tcW w:w="0" w:type="dxa"/>
            <w:vAlign w:val="bottom"/>
          </w:tcPr>
          <w:p>
            <w:pPr>
              <w:spacing w:after="0"/>
              <w:rPr>
                <w:sz w:val="1"/>
                <w:szCs w:val="1"/>
                <w:color w:val="auto"/>
              </w:rPr>
            </w:pPr>
          </w:p>
        </w:tc>
      </w:tr>
      <w:tr>
        <w:trPr>
          <w:trHeight w:val="156"/>
        </w:trPr>
        <w:tc>
          <w:tcPr>
            <w:tcW w:w="3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(loss) from discontinued operations, net of</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90"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reversal of $10.2 million in stock-based compensation expense that was previously recognized by Angi with respect to restricted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14—PEOPLE INC. FINANCIAL INFORMATION</w:t>
      </w:r>
    </w:p>
    <w:p>
      <w:pPr>
        <w:spacing w:after="0" w:line="229"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As mentioned above, People Inc., the borrower under the Term Loans and 2032 Notes, is required to provide certain financial information. This requirement can be met by providing the Company’s consolidated financial statements presented as of and for the applicable periods then ended with a reconciliation to the consolidated balance sheet, statement of operations and comprehensive operations and statement of cash flows of People Inc. on a standalone basis and the consolidated statement of shareholder’s equity of People Inc. on a standalone basis. Presented below are the reconciliations of the Company’s (i) consolidated balance sheet as of September 30, 2026 and December 31, 2025, (ii) the related consolidated statement of operations and comprehensive operations for the three and nine months ended September 30, 2026 and 2025 and (iii) the related consolidated statement of cash flows for the nine months ended September 30, 2026 and 2025 to the applicable financial information of People Inc. on a standalone basis by (1) excluding entities other than People Inc. and (2) including the applicable eliminations and reclassifications. Also presented are the consolidated statements of shareholder’s equity for People Inc.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 AT SEPTEMBER 30, 2026 AND DECEMBER 31, 2025 (UNAUDITED)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1,318,784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(946,352)</w:t>
            </w:r>
          </w:p>
        </w:tc>
        <w:tc>
          <w:tcPr>
            <w:tcW w:w="80" w:type="dxa"/>
            <w:vAlign w:val="bottom"/>
          </w:tcPr>
          <w:p>
            <w:pPr>
              <w:spacing w:after="0"/>
              <w:rPr>
                <w:sz w:val="19"/>
                <w:szCs w:val="19"/>
                <w:color w:val="auto"/>
              </w:rPr>
            </w:pP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(656,993)</w:t>
            </w:r>
          </w:p>
        </w:tc>
        <w:tc>
          <w:tcPr>
            <w:tcW w:w="80" w:type="dxa"/>
            <w:vAlign w:val="bottom"/>
          </w:tcPr>
          <w:p>
            <w:pPr>
              <w:spacing w:after="0"/>
              <w:rPr>
                <w:sz w:val="19"/>
                <w:szCs w:val="19"/>
                <w:color w:val="auto"/>
              </w:rPr>
            </w:pP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284,318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400,895</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Current assets of discontinued</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1,756,032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(998,795)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757,237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1,544,749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(805,356)</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739,393</w:t>
            </w: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Buildings, land, equipment,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leasehold improvements and</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(174,399)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110,606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284,394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(179,882)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104,512</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1,505,497</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Intangible assets, net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394,381</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(2,074,834)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(2,401,858)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252,258</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People Incorporated's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People Inc.</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(1,658,858)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(1,655,926)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1,655,926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Non-current assets of</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6,561,724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(5,343,909)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1,714,341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2,932,156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7,194,917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(5,952,138)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1,753,262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2,996,041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Current portion of long-term</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0" w:type="dxa"/>
            <w:vAlign w:val="bottom"/>
          </w:tcPr>
          <w:p>
            <w:pPr>
              <w:spacing w:after="0"/>
              <w:rPr>
                <w:sz w:val="1"/>
                <w:szCs w:val="1"/>
                <w:color w:val="auto"/>
              </w:rPr>
            </w:pPr>
          </w:p>
        </w:tc>
      </w:tr>
      <w:tr>
        <w:trPr>
          <w:trHeight w:val="905"/>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3"/>
            <w:vMerge w:val="continue"/>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60" w:type="dxa"/>
            <w:vAlign w:val="bottom"/>
            <w:gridSpan w:val="2"/>
            <w:vMerge w:val="continue"/>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23,102</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20,291</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 other</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liabilities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96,114</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438,390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387,415</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413,077</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1,384,664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1,384,664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187,927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213,265</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Non-current liabilities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 due from People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 to People Incorporated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noncontrolling</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Commitments and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6,004,397</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(6,004,397)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1,573,536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1,573,536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5,959,692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(5,959,692)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1,570,603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(587,788)</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(704,056)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4,391,109</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(5,080,175)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1,661,216</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972,150</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4,733,827</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(5,423,735)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1,658,283</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4,435,947</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(5,125,013)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1,661,216</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972,150</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4,763,759</w:t>
            </w:r>
          </w:p>
        </w:tc>
        <w:tc>
          <w:tcPr>
            <w:tcW w:w="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(5,453,667)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1,658,283</w:t>
            </w: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$ 6,561,724</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(5,343,909)</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1,714,341</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$ 2,932,156</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$ 7,194,917</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(5,952,138)</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1,753,262</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$ 2,996,041</w:t>
            </w:r>
          </w:p>
        </w:tc>
        <w:tc>
          <w:tcPr>
            <w:tcW w:w="0" w:type="dxa"/>
            <w:vAlign w:val="bottom"/>
          </w:tcPr>
          <w:p>
            <w:pPr>
              <w:spacing w:after="0"/>
              <w:rPr>
                <w:sz w:val="1"/>
                <w:szCs w:val="1"/>
                <w:color w:val="auto"/>
              </w:rPr>
            </w:pPr>
          </w:p>
        </w:tc>
      </w:tr>
      <w:tr>
        <w:trPr>
          <w:trHeight w:val="23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OPERATIONS FOR THE THREE MONTHS ENDED SEPTEMBER 30, 2026 AND 2025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560" w:type="dxa"/>
            <w:vAlign w:val="bottom"/>
            <w:gridSpan w:val="8"/>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8"/>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1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20" w:type="dxa"/>
            <w:vAlign w:val="bottom"/>
            <w:gridSpan w:val="4"/>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20" w:type="dxa"/>
            <w:vAlign w:val="bottom"/>
            <w:gridSpan w:val="4"/>
            <w:vMerge w:val="continue"/>
          </w:tcPr>
          <w:p>
            <w:pPr>
              <w:spacing w:after="0"/>
              <w:rPr>
                <w:sz w:val="12"/>
                <w:szCs w:val="12"/>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20" w:type="dxa"/>
            <w:vAlign w:val="bottom"/>
            <w:tcBorders>
              <w:bottom w:val="single" w:sz="8" w:color="auto"/>
            </w:tcBorders>
            <w:gridSpan w:val="2"/>
            <w:vMerge w:val="continue"/>
          </w:tcPr>
          <w:p>
            <w:pPr>
              <w:spacing w:after="0"/>
              <w:rPr>
                <w:sz w:val="17"/>
                <w:szCs w:val="17"/>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430,820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(20,951)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409,869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447,115</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(17,288)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429,827</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shown separately</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168,249</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124,538</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49,302</w:t>
            </w: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operating costs and</w:t>
            </w: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433,867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(73,066)</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401,294</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40,279</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55,778</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in MGM Resorts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1,119,943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continuing operations before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(963,268)</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975,733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earnings from</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(684,900)</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690,030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from</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discontinued operations, net of</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(685,060)</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690,190</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earnings</w:t>
            </w: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 shareholders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(687,491)</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692,621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885"/>
        </w:trPr>
        <w:tc>
          <w:tcPr>
            <w:tcW w:w="23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9"/>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9"/>
          </w:tcPr>
          <w:p>
            <w:pPr>
              <w:jc w:val="center"/>
              <w:ind w:left="73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10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People Inc.</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(687,447)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692,621</w:t>
            </w:r>
          </w:p>
        </w:tc>
        <w:tc>
          <w:tcPr>
            <w:tcW w:w="80" w:type="dxa"/>
            <w:vAlign w:val="bottom"/>
          </w:tcPr>
          <w:p>
            <w:pPr>
              <w:spacing w:after="0"/>
              <w:rPr>
                <w:sz w:val="13"/>
                <w:szCs w:val="13"/>
                <w:color w:val="auto"/>
              </w:rPr>
            </w:pPr>
          </w:p>
        </w:tc>
        <w:tc>
          <w:tcPr>
            <w:tcW w:w="5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80" w:type="dxa"/>
            <w:vAlign w:val="bottom"/>
          </w:tcPr>
          <w:p>
            <w:pPr>
              <w:spacing w:after="0"/>
              <w:rPr>
                <w:sz w:val="13"/>
                <w:szCs w:val="13"/>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 shareholders</w:t>
            </w: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right="33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center"/>
              <w:ind w:right="33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660" w:right="640" w:hanging="328"/>
        <w:spacing w:after="0" w:line="221" w:lineRule="auto"/>
        <w:tabs>
          <w:tab w:leader="none" w:pos="581"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months ended September 30, 2026 and 2025 for People Inc. include $0.3 million and $(0.2) million of change in net unrealized gains (losses) on interest rate swaps, respectively, and $(0.3) million and $(0.6) million of change in foreign currency translation adjustment,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87"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OPERATIONS FOR THE NINE MONTHS ENDED SEPTEMBER 30, 2026 AND 2025 (UNAUDITED)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3440" w:type="dxa"/>
            <w:vAlign w:val="bottom"/>
            <w:gridSpan w:val="8"/>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8"/>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20" w:type="dxa"/>
            <w:vAlign w:val="bottom"/>
            <w:gridSpan w:val="4"/>
            <w:vMerge w:val="continue"/>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4"/>
            <w:vMerge w:val="continue"/>
          </w:tcPr>
          <w:p>
            <w:pPr>
              <w:spacing w:after="0"/>
              <w:rPr>
                <w:sz w:val="12"/>
                <w:szCs w:val="12"/>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People Inc.</w:t>
            </w:r>
          </w:p>
        </w:tc>
        <w:tc>
          <w:tcPr>
            <w:tcW w:w="13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4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$ 1,273,353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(61,078)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$ 1,212,285</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$ 1,301,719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(51,452)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$ 1,250,268</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shown separately</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452,219</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479,358</w:t>
            </w:r>
          </w:p>
        </w:tc>
        <w:tc>
          <w:tcPr>
            <w:tcW w:w="0" w:type="dxa"/>
            <w:vAlign w:val="bottom"/>
          </w:tcPr>
          <w:p>
            <w:pPr>
              <w:spacing w:after="0"/>
              <w:rPr>
                <w:sz w:val="1"/>
                <w:szCs w:val="1"/>
                <w:color w:val="auto"/>
              </w:rPr>
            </w:pPr>
          </w:p>
        </w:tc>
      </w:tr>
      <w:tr>
        <w:trPr>
          <w:trHeight w:val="176"/>
        </w:trPr>
        <w:tc>
          <w:tcPr>
            <w:tcW w:w="2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361,765</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344,099</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385,470</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368,508</w:t>
            </w: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0" w:type="dxa"/>
            <w:vAlign w:val="bottom"/>
          </w:tcPr>
          <w:p>
            <w:pPr>
              <w:spacing w:after="0"/>
              <w:rPr>
                <w:sz w:val="1"/>
                <w:szCs w:val="1"/>
                <w:color w:val="auto"/>
              </w:rPr>
            </w:pPr>
          </w:p>
        </w:tc>
      </w:tr>
      <w:tr>
        <w:trPr>
          <w:trHeight w:val="229"/>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90,993</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0" w:type="dxa"/>
            <w:vAlign w:val="bottom"/>
          </w:tcPr>
          <w:p>
            <w:pPr>
              <w:spacing w:after="0"/>
              <w:rPr>
                <w:sz w:val="1"/>
                <w:szCs w:val="1"/>
                <w:color w:val="auto"/>
              </w:rPr>
            </w:pPr>
          </w:p>
        </w:tc>
      </w:tr>
      <w:tr>
        <w:trPr>
          <w:trHeight w:val="230"/>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0" w:type="dxa"/>
            <w:vAlign w:val="bottom"/>
          </w:tcPr>
          <w:p>
            <w:pPr>
              <w:spacing w:after="0"/>
              <w:rPr>
                <w:sz w:val="1"/>
                <w:szCs w:val="1"/>
                <w:color w:val="auto"/>
              </w:rPr>
            </w:pPr>
          </w:p>
        </w:tc>
      </w:tr>
      <w:tr>
        <w:trPr>
          <w:trHeight w:val="155"/>
        </w:trPr>
        <w:tc>
          <w:tcPr>
            <w:tcW w:w="236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operating costs and</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1,322,503</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1,130,859</w:t>
            </w:r>
          </w:p>
        </w:tc>
        <w:tc>
          <w:tcPr>
            <w:tcW w:w="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1,315,353</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1,143,749</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81,426</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106,519</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(77,771)</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(93,117)</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(93,117)</w:t>
            </w: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in MGM Resorts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w:t>
            </w: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continuing operations before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(114,122)</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0" w:type="dxa"/>
            <w:vAlign w:val="bottom"/>
          </w:tcPr>
          <w:p>
            <w:pPr>
              <w:spacing w:after="0"/>
              <w:rPr>
                <w:sz w:val="1"/>
                <w:szCs w:val="1"/>
                <w:color w:val="auto"/>
              </w:rPr>
            </w:pPr>
          </w:p>
        </w:tc>
      </w:tr>
      <w:tr>
        <w:trPr>
          <w:trHeight w:val="156"/>
        </w:trPr>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earnings from</w:t>
            </w: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(110,607)</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the sale of Care.com,</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income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from discontinued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net of 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38"/>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21" w:lineRule="exact"/>
        <w:rPr>
          <w:sz w:val="20"/>
          <w:szCs w:val="20"/>
          <w:color w:val="auto"/>
        </w:rPr>
      </w:pPr>
    </w:p>
    <w:tbl>
      <w:tblPr>
        <w:tblLayout w:type="fixed"/>
        <w:tblInd w:w="240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14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14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14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00" w:type="dxa"/>
            <w:vAlign w:val="bottom"/>
            <w:vMerge w:val="continue"/>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14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20" w:type="dxa"/>
            <w:vAlign w:val="bottom"/>
            <w:vMerge w:val="continue"/>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3"/>
        </w:trPr>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gridSpan w:val="2"/>
            <w:vMerge w:val="continue"/>
          </w:tcPr>
          <w:p>
            <w:pPr>
              <w:spacing w:after="0"/>
              <w:rPr>
                <w:sz w:val="16"/>
                <w:szCs w:val="16"/>
                <w:color w:val="auto"/>
              </w:rPr>
            </w:pPr>
          </w:p>
        </w:tc>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6350</wp:posOffset>
            </wp:positionV>
            <wp:extent cx="5614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18"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b w:val="1"/>
          <w:bCs w:val="1"/>
          <w:color w:val="auto"/>
        </w:rPr>
        <w:t>attributable to People</w:t>
      </w:r>
    </w:p>
    <w:tbl>
      <w:tblPr>
        <w:tblLayout w:type="fixed"/>
        <w:tblInd w:w="20" w:type="dxa"/>
        <w:tblCellMar>
          <w:top w:w="0" w:type="dxa"/>
          <w:left w:w="0" w:type="dxa"/>
          <w:bottom w:w="0" w:type="dxa"/>
          <w:right w:w="0" w:type="dxa"/>
        </w:tblCellMar>
      </w:tblP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Incorporated shareholders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3"/>
                <w:szCs w:val="23"/>
                <w:color w:val="auto"/>
                <w:vertAlign w:val="superscript"/>
              </w:rPr>
              <w:t>(b)</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(254,399)</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255,241</w:t>
            </w:r>
          </w:p>
        </w:tc>
        <w:tc>
          <w:tcPr>
            <w:tcW w:w="100" w:type="dxa"/>
            <w:vAlign w:val="bottom"/>
          </w:tcPr>
          <w:p>
            <w:pPr>
              <w:spacing w:after="0"/>
              <w:rPr>
                <w:sz w:val="13"/>
                <w:szCs w:val="13"/>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shareholders</w:t>
            </w: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100" w:type="dxa"/>
            <w:vAlign w:val="bottom"/>
          </w:tcPr>
          <w:p>
            <w:pPr>
              <w:spacing w:after="0"/>
              <w:rPr>
                <w:sz w:val="13"/>
                <w:szCs w:val="13"/>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418"/>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372"/>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80" w:type="dxa"/>
            <w:vAlign w:val="bottom"/>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91"/>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41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17,778</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371"/>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22,061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r>
      <w:tr>
        <w:trPr>
          <w:trHeight w:val="21"/>
        </w:trPr>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-281940</wp:posOffset>
            </wp:positionV>
            <wp:extent cx="6000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-33655</wp:posOffset>
            </wp:positionV>
            <wp:extent cx="6000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-7620</wp:posOffset>
            </wp:positionV>
            <wp:extent cx="6000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-1293495</wp:posOffset>
            </wp:positionV>
            <wp:extent cx="6000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5940" w:space="260"/>
            <w:col w:w="5040"/>
          </w:cols>
          <w:pgMar w:left="320" w:top="118" w:right="339" w:bottom="1440" w:gutter="0" w:footer="0" w:header="0"/>
          <w:type w:val="continuous"/>
        </w:sectPr>
      </w:pPr>
    </w:p>
    <w:p>
      <w:pPr>
        <w:ind w:left="660" w:right="660" w:hanging="328"/>
        <w:spacing w:after="0" w:line="221" w:lineRule="auto"/>
        <w:tabs>
          <w:tab w:leader="none" w:pos="586"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nine months ended September 30, 2026 and 2025 for People Inc. include $2.0 million and $(2.8) million of change in net unrealized gains (losses) on interest rate swaps, respectively, and $(1.3) million and $(0.7) million of change in foreign currency translation adjustment,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FOR THE NINE MONTHS ENDED SEPTEMBER 30, 2026 AND 2025 (UNAUDITED)</w:t>
      </w:r>
    </w:p>
    <w:p>
      <w:pPr>
        <w:spacing w:after="0" w:line="280" w:lineRule="exact"/>
        <w:rPr>
          <w:sz w:val="20"/>
          <w:szCs w:val="20"/>
          <w:color w:val="auto"/>
        </w:rPr>
      </w:pPr>
    </w:p>
    <w:tbl>
      <w:tblPr>
        <w:tblLayout w:type="fixed"/>
        <w:tblInd w:w="240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14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14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1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00" w:type="dxa"/>
            <w:vAlign w:val="bottom"/>
            <w:vMerge w:val="continue"/>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People</w:t>
            </w:r>
          </w:p>
        </w:tc>
        <w:tc>
          <w:tcPr>
            <w:tcW w:w="11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20" w:type="dxa"/>
            <w:vAlign w:val="bottom"/>
            <w:vMerge w:val="continue"/>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0"/>
        </w:trPr>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gridSpan w:val="2"/>
            <w:vMerge w:val="continue"/>
          </w:tcPr>
          <w:p>
            <w:pPr>
              <w:spacing w:after="0"/>
              <w:rPr>
                <w:sz w:val="16"/>
                <w:szCs w:val="16"/>
                <w:color w:val="auto"/>
              </w:rPr>
            </w:pPr>
          </w:p>
        </w:tc>
        <w:tc>
          <w:tcPr>
            <w:tcW w:w="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4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6350</wp:posOffset>
            </wp:positionV>
            <wp:extent cx="5614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attributable to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(247,891)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248,009</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Loss on the sale of</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Care.com, net of income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Earnings from</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discontinued operations, net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40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(loss) earnings</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continuing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right="380"/>
        <w:spacing w:after="0" w:line="245" w:lineRule="auto"/>
        <w:rPr>
          <w:sz w:val="20"/>
          <w:szCs w:val="20"/>
          <w:color w:val="auto"/>
        </w:rPr>
      </w:pPr>
      <w:r>
        <w:rPr>
          <w:rFonts w:ascii="Times New Roman" w:cs="Times New Roman" w:eastAsia="Times New Roman" w:hAnsi="Times New Roman"/>
          <w:sz w:val="18"/>
          <w:szCs w:val="18"/>
          <w:color w:val="auto"/>
        </w:rPr>
        <w:t>Adjustments to reconcile net (loss) earnings attributable to continuing operations to net cash provided by operating activities attributable to continuing operations:</w:t>
      </w:r>
    </w:p>
    <w:tbl>
      <w:tblPr>
        <w:tblLayout w:type="fixed"/>
        <w:tblInd w:w="0" w:type="dxa"/>
        <w:tblCellMar>
          <w:top w:w="0" w:type="dxa"/>
          <w:left w:w="0" w:type="dxa"/>
          <w:bottom w:w="0" w:type="dxa"/>
          <w:right w:w="0" w:type="dxa"/>
        </w:tblCellMar>
      </w:tblPr>
      <w:tr>
        <w:trPr>
          <w:trHeight w:val="180"/>
        </w:trPr>
        <w:tc>
          <w:tcPr>
            <w:tcW w:w="25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Unrealized loss (gain) on</w:t>
            </w:r>
          </w:p>
        </w:tc>
        <w:tc>
          <w:tcPr>
            <w:tcW w:w="10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investment in MGM Resorts</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364,256</w:t>
            </w:r>
          </w:p>
        </w:tc>
        <w:tc>
          <w:tcPr>
            <w:tcW w:w="140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(364,256)</w:t>
            </w:r>
          </w:p>
        </w:tc>
        <w:tc>
          <w:tcPr>
            <w:tcW w:w="10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(648)</w:t>
            </w:r>
          </w:p>
        </w:tc>
        <w:tc>
          <w:tcPr>
            <w:tcW w:w="1360" w:type="dxa"/>
            <w:vAlign w:val="bottom"/>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648</w:t>
            </w:r>
          </w:p>
        </w:tc>
        <w:tc>
          <w:tcPr>
            <w:tcW w:w="9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76,491</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(54,430)</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22,061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12,797</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7,621</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57,321</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57,321</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67,357</w:t>
            </w:r>
          </w:p>
        </w:tc>
        <w:tc>
          <w:tcPr>
            <w:tcW w:w="13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24,044</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(5,838)</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18,206</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26,744</w:t>
            </w: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(6,160)</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Non-cash lease expense</w:t>
            </w:r>
          </w:p>
        </w:tc>
        <w:tc>
          <w:tcPr>
            <w:tcW w:w="10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(including right-of-use asset</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22,845</w:t>
            </w:r>
          </w:p>
        </w:tc>
        <w:tc>
          <w:tcPr>
            <w:tcW w:w="140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(580)</w:t>
            </w:r>
          </w:p>
        </w:tc>
        <w:tc>
          <w:tcPr>
            <w:tcW w:w="10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22,265</w:t>
            </w:r>
          </w:p>
        </w:tc>
        <w:tc>
          <w:tcPr>
            <w:tcW w:w="11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25,472</w:t>
            </w:r>
          </w:p>
        </w:tc>
        <w:tc>
          <w:tcPr>
            <w:tcW w:w="136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(715)</w:t>
            </w:r>
          </w:p>
        </w:tc>
        <w:tc>
          <w:tcPr>
            <w:tcW w:w="9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impairments)</w:t>
            </w:r>
          </w:p>
        </w:tc>
        <w:tc>
          <w:tcPr>
            <w:tcW w:w="10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Net (gains) losses on sales of</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investments and businesses</w:t>
            </w: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and downward adjustments</w:t>
            </w: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to the carrying value of</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equity securities without</w:t>
            </w: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readily determinable fair</w:t>
            </w:r>
          </w:p>
        </w:tc>
        <w:tc>
          <w:tcPr>
            <w:tcW w:w="10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(170,375)</w:t>
            </w:r>
          </w:p>
        </w:tc>
        <w:tc>
          <w:tcPr>
            <w:tcW w:w="14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170,375</w:t>
            </w: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18,845</w:t>
            </w:r>
          </w:p>
        </w:tc>
        <w:tc>
          <w:tcPr>
            <w:tcW w:w="13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(18,845)</w:t>
            </w: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values</w:t>
            </w:r>
          </w:p>
        </w:tc>
        <w:tc>
          <w:tcPr>
            <w:tcW w:w="106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(111,653)</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118,201</w:t>
            </w: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6,548</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(6,567)</w:t>
            </w:r>
          </w:p>
        </w:tc>
        <w:tc>
          <w:tcPr>
            <w:tcW w:w="13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23,577</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184"/>
        </w:trPr>
        <w:tc>
          <w:tcPr>
            <w:tcW w:w="2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Gain on sale of an unutilized</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domain name</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(7,500)</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7,500</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Loss related to the allocation</w:t>
            </w:r>
          </w:p>
        </w:tc>
        <w:tc>
          <w:tcPr>
            <w:tcW w:w="10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of a disputed gain on a real</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32,600</w:t>
            </w:r>
          </w:p>
        </w:tc>
        <w:tc>
          <w:tcPr>
            <w:tcW w:w="136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(32,600)</w:t>
            </w:r>
          </w:p>
        </w:tc>
        <w:tc>
          <w:tcPr>
            <w:tcW w:w="9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estate transaction</w:t>
            </w:r>
          </w:p>
        </w:tc>
        <w:tc>
          <w:tcPr>
            <w:tcW w:w="10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Net gains on amendments</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and early terminations of</w:t>
            </w: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(42,193)</w:t>
            </w:r>
          </w:p>
        </w:tc>
        <w:tc>
          <w:tcPr>
            <w:tcW w:w="13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0" w:type="dxa"/>
            <w:vAlign w:val="bottom"/>
          </w:tcPr>
          <w:p>
            <w:pPr>
              <w:spacing w:after="0"/>
              <w:rPr>
                <w:sz w:val="1"/>
                <w:szCs w:val="1"/>
                <w:color w:val="auto"/>
              </w:rPr>
            </w:pPr>
          </w:p>
        </w:tc>
      </w:tr>
      <w:tr>
        <w:trPr>
          <w:trHeight w:val="234"/>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agreements</w:t>
            </w:r>
          </w:p>
        </w:tc>
        <w:tc>
          <w:tcPr>
            <w:tcW w:w="106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2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42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1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2"/>
            <w:vMerge w:val="continue"/>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20" w:type="dxa"/>
            <w:vAlign w:val="bottom"/>
            <w:gridSpan w:val="2"/>
            <w:vMerge w:val="continue"/>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adjustments, net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assets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liabilities, net of effects of</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50,856</w:t>
            </w: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w:t>
            </w: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Accounts payable and other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(34,326)</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Income taxes payable and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0" w:type="dxa"/>
            <w:vAlign w:val="bottom"/>
          </w:tcPr>
          <w:p>
            <w:pPr>
              <w:spacing w:after="0"/>
              <w:rPr>
                <w:sz w:val="1"/>
                <w:szCs w:val="1"/>
                <w:color w:val="auto"/>
              </w:rPr>
            </w:pP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provided by</w:t>
            </w: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continuing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105,582</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41,661</w:t>
            </w:r>
          </w:p>
        </w:tc>
        <w:tc>
          <w:tcPr>
            <w:tcW w:w="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w:t>
            </w:r>
          </w:p>
        </w:tc>
        <w:tc>
          <w:tcPr>
            <w:tcW w:w="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152,418</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53,403</w:t>
            </w:r>
          </w:p>
        </w:tc>
        <w:tc>
          <w:tcPr>
            <w:tcW w:w="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3,612</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57,103</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attributable to continuing operations: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proceeds from the sale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Care.com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300,241</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(300,241)</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Purchase of MGM Resorts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 common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Allocation of Angi Inc.'s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in the Distribution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(386,563)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386,563</w:t>
            </w:r>
          </w:p>
        </w:tc>
        <w:tc>
          <w:tcPr>
            <w:tcW w:w="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sale of an</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unutilized domain name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proceeds from the sales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of investments and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185,131</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(185,131)</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sale of a</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portion of the retirement</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fund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30"/>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provided by (used</w:t>
            </w: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in) investing activities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attributable to continuing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434,152</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(458,884)</w:t>
            </w:r>
          </w:p>
        </w:tc>
        <w:tc>
          <w:tcPr>
            <w:tcW w:w="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(24,732)</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(369,918)</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374,324</w:t>
            </w:r>
          </w:p>
        </w:tc>
        <w:tc>
          <w:tcPr>
            <w:tcW w:w="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w:t>
            </w:r>
          </w:p>
        </w:tc>
        <w:tc>
          <w:tcPr>
            <w:tcW w:w="0" w:type="dxa"/>
            <w:vAlign w:val="bottom"/>
          </w:tcPr>
          <w:p>
            <w:pPr>
              <w:spacing w:after="0"/>
              <w:rPr>
                <w:sz w:val="1"/>
                <w:szCs w:val="1"/>
                <w:color w:val="auto"/>
              </w:rPr>
            </w:pPr>
          </w:p>
        </w:tc>
      </w:tr>
      <w:tr>
        <w:trPr>
          <w:trHeight w:val="23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Cash flows from financing activities attributable to continuing operations: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Principal payments on the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(1,430,148)</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(1,430,148)</w:t>
            </w:r>
          </w:p>
        </w:tc>
        <w:tc>
          <w:tcPr>
            <w:tcW w:w="0" w:type="dxa"/>
            <w:vAlign w:val="bottom"/>
          </w:tcPr>
          <w:p>
            <w:pPr>
              <w:spacing w:after="0"/>
              <w:rPr>
                <w:sz w:val="1"/>
                <w:szCs w:val="1"/>
                <w:color w:val="auto"/>
              </w:rPr>
            </w:pPr>
          </w:p>
        </w:tc>
      </w:tr>
      <w:tr>
        <w:trPr>
          <w:trHeight w:val="905"/>
        </w:trPr>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34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1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1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80" w:type="dxa"/>
            <w:vAlign w:val="bottom"/>
            <w:gridSpan w:val="2"/>
            <w:vMerge w:val="continue"/>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40" w:type="dxa"/>
            <w:vAlign w:val="bottom"/>
            <w:gridSpan w:val="2"/>
            <w:vMerge w:val="continue"/>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40"/>
              <w:spacing w:after="0" w:line="162" w:lineRule="exact"/>
              <w:rPr>
                <w:sz w:val="20"/>
                <w:szCs w:val="20"/>
                <w:color w:val="auto"/>
              </w:rPr>
            </w:pPr>
            <w:r>
              <w:rPr>
                <w:rFonts w:ascii="Times New Roman" w:cs="Times New Roman" w:eastAsia="Times New Roman" w:hAnsi="Times New Roman"/>
                <w:sz w:val="18"/>
                <w:szCs w:val="18"/>
                <w:color w:val="auto"/>
              </w:rPr>
              <w:t>Net proceeds from the Term</w:t>
            </w: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refinancing</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991,451</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991,451</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the issuance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the 2032 Notes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Debt issuance and deferred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costs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Contributions from the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to People Inc.</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Distributions from People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 to People Incorporated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Withholding taxes paid on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behalf of employees on net</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settled stock-based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53,715</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133,252</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Reimbursement from People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Inc. to People Incorporated</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for the settlement of equity</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 held by employees</w:t>
            </w:r>
          </w:p>
        </w:tc>
        <w:tc>
          <w:tcPr>
            <w:tcW w:w="11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Distributions from Angi Inc.</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pursuant to the tax sharing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Intercompany between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People Incorporated and</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People Inc.</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4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cash used in financing</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activities attributable 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(187,075)</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154,180</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(5,175)</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(38,070)</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(419,059)</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392,326</w:t>
            </w:r>
          </w:p>
        </w:tc>
        <w:tc>
          <w:tcPr>
            <w:tcW w:w="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(3,612)</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(30,345)</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cash provided by (used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continuing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352,659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(263,043)</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89,616</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(788,889)</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820,053</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cash (used in) provided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by operating activities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attributable to discontinued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cash used in investing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activities attributable to</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cash used in financing</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activities attributable to</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8"/>
        </w:trPr>
        <w:tc>
          <w:tcPr>
            <w:tcW w:w="24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4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0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Less: Entities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 and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0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1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People</w:t>
            </w:r>
          </w:p>
        </w:tc>
        <w:tc>
          <w:tcPr>
            <w:tcW w:w="10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300" w:type="dxa"/>
            <w:vAlign w:val="bottom"/>
            <w:gridSpan w:val="2"/>
            <w:vMerge w:val="continue"/>
          </w:tcPr>
          <w:p>
            <w:pPr>
              <w:spacing w:after="0"/>
              <w:rPr>
                <w:sz w:val="12"/>
                <w:szCs w:val="12"/>
                <w:color w:val="auto"/>
              </w:rPr>
            </w:pPr>
          </w:p>
        </w:tc>
        <w:tc>
          <w:tcPr>
            <w:tcW w:w="9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040" w:type="dxa"/>
            <w:vAlign w:val="bottom"/>
            <w:gridSpan w:val="2"/>
            <w:vMerge w:val="continue"/>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People Inc.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360"/>
              <w:spacing w:after="0" w:line="162" w:lineRule="exact"/>
              <w:rPr>
                <w:sz w:val="20"/>
                <w:szCs w:val="20"/>
                <w:color w:val="auto"/>
              </w:rPr>
            </w:pPr>
            <w:r>
              <w:rPr>
                <w:rFonts w:ascii="Times New Roman" w:cs="Times New Roman" w:eastAsia="Times New Roman" w:hAnsi="Times New Roman"/>
                <w:sz w:val="18"/>
                <w:szCs w:val="18"/>
                <w:b w:val="1"/>
                <w:bCs w:val="1"/>
                <w:color w:val="auto"/>
              </w:rPr>
              <w:t>Total cash used in</w:t>
            </w: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8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on cash and cash equivalents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restricted cash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55"/>
        </w:trPr>
        <w:tc>
          <w:tcPr>
            <w:tcW w:w="2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w:t>
            </w: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cash and cash equivalents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339,729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(251,702)</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88,027</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(791,787)</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822,767</w:t>
            </w:r>
          </w:p>
        </w:tc>
        <w:tc>
          <w:tcPr>
            <w:tcW w:w="8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771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20"/>
        <w:spacing w:after="0" w:line="233" w:lineRule="auto"/>
        <w:rPr>
          <w:sz w:val="20"/>
          <w:szCs w:val="20"/>
          <w:color w:val="auto"/>
        </w:rPr>
      </w:pPr>
      <w:r>
        <w:rPr>
          <w:rFonts w:ascii="Times New Roman" w:cs="Times New Roman" w:eastAsia="Times New Roman" w:hAnsi="Times New Roman"/>
          <w:sz w:val="17"/>
          <w:szCs w:val="17"/>
          <w:color w:val="auto"/>
        </w:rPr>
        <w:t>Cash and cash equivalents and restricted cash at beginning of</w:t>
      </w: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7" w:lineRule="exact"/>
        <w:rPr>
          <w:sz w:val="20"/>
          <w:szCs w:val="20"/>
          <w:color w:val="auto"/>
        </w:rPr>
      </w:pPr>
    </w:p>
    <w:p>
      <w:pPr>
        <w:ind w:left="20" w:right="20"/>
        <w:spacing w:after="0" w:line="220" w:lineRule="auto"/>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w:t>
      </w: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986,831</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(694,652)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292,179</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1,807,255</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(1,550,133)</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257,122</w:t>
            </w:r>
          </w:p>
        </w:tc>
      </w:tr>
      <w:tr>
        <w:trPr>
          <w:trHeight w:val="547"/>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$ 1,326,560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(946,354)</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380,206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$ 1,015,468</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(727,366)</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288,102</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220" w:space="160"/>
            <w:col w:w="8860"/>
          </w:cols>
          <w:pgMar w:left="320" w:top="11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8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b w:val="1"/>
          <w:bCs w:val="1"/>
          <w:color w:val="auto"/>
        </w:rPr>
        <w:t>PEOPLE INC. CONSOLIDATED STATEMENTS OF SHAREHOLDER’S EQUITY FOR THE THREE AND NINE MONTHS ENDED SEPTEMBER 30, 2026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6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80" w:type="dxa"/>
            <w:vAlign w:val="bottom"/>
            <w:vMerge w:val="restart"/>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$ 1,568,352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(592,800)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from People Inc. to People Incorporated for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equity awards held by employees</w:t>
            </w: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52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$ 1,573,536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(587,670)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$0.01 par value</w:t>
            </w:r>
          </w:p>
        </w:tc>
        <w:tc>
          <w:tcPr>
            <w:tcW w:w="10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040" w:type="dxa"/>
            <w:vAlign w:val="bottom"/>
            <w:gridSpan w:val="2"/>
            <w:vMerge w:val="restart"/>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4"/>
                <w:szCs w:val="4"/>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$ 1,570,603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(587,788)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from People Inc. to People Incorporated for</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equity awards held by employees</w:t>
            </w:r>
          </w:p>
        </w:tc>
        <w:tc>
          <w:tcPr>
            <w:tcW w:w="5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52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$ 1,573,536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(587,670)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8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b w:val="1"/>
          <w:bCs w:val="1"/>
          <w:color w:val="auto"/>
        </w:rPr>
        <w:t>PEOPLE INC. CONSOLIDATED STATEMENTS OF SHAREHOLDER’S EQUITY FOR THE THREE AND NINE MONTHS ENDED SEPTEMBER 30, 2025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6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par value</w:t>
            </w:r>
          </w:p>
        </w:tc>
        <w:tc>
          <w:tcPr>
            <w:tcW w:w="80" w:type="dxa"/>
            <w:vAlign w:val="bottom"/>
            <w:vMerge w:val="restart"/>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$ 1,622,065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(651,199)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People Incorporated to People Inc.</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from People Inc. to People Incorporated</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from People Inc. to People Incorporated for</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equity awards held by employees</w:t>
            </w: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2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$ 1,604,671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(646,872)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4"/>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(500,000 shares authorized)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6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$0.01 par value</w:t>
            </w:r>
          </w:p>
        </w:tc>
        <w:tc>
          <w:tcPr>
            <w:tcW w:w="10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040" w:type="dxa"/>
            <w:vAlign w:val="bottom"/>
            <w:gridSpan w:val="2"/>
            <w:vMerge w:val="restart"/>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100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4"/>
                <w:szCs w:val="4"/>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count)</w:t>
            </w: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$ 1,556,899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(650,336)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People Incorporated to People Inc.</w:t>
            </w: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from People Inc. to People Incorporated</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Withholding taxes paid on behalf of employees on net settled</w:t>
            </w: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from People Inc. to People Incorporated for</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equity awards held by employees</w:t>
            </w:r>
          </w:p>
        </w:tc>
        <w:tc>
          <w:tcPr>
            <w:tcW w:w="5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2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$ 1,604,671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(646,872)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8" w:lineRule="exact"/>
        <w:rPr>
          <w:sz w:val="20"/>
          <w:szCs w:val="20"/>
          <w:color w:val="auto"/>
        </w:rPr>
      </w:pPr>
    </w:p>
    <w:p>
      <w:pPr>
        <w:jc w:val="center"/>
        <w:ind w:left="720" w:right="2380"/>
        <w:spacing w:after="0" w:line="331" w:lineRule="auto"/>
        <w:rPr>
          <w:sz w:val="20"/>
          <w:szCs w:val="20"/>
          <w:color w:val="auto"/>
        </w:rPr>
      </w:pPr>
      <w:r>
        <w:rPr>
          <w:rFonts w:ascii="Times New Roman" w:cs="Times New Roman" w:eastAsia="Times New Roman" w:hAnsi="Times New Roman"/>
          <w:sz w:val="18"/>
          <w:szCs w:val="18"/>
          <w:b w:val="1"/>
          <w:bCs w:val="1"/>
          <w:color w:val="auto"/>
        </w:rPr>
        <w:t>PEOPLE INCORPORATED AND SUBSIDIARIES NOTES TO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15—SUBSEQUENT EVENT</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October 29, 2026, People Inc. executed staffing reductions to better align the business with strategic growth priorities and expects to incur an estimated $15 million to $20 million in severance and employee separation benefit expense in the fourth quarter.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20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On June 4, 2026, IAC Inc. changed its name to People Incorporated (NASDAQ: PPLI), which is the owner of publisher, People Inc. Group. People Incorporated also holds a significant minority stake in MGM Resorts International (“MGM”).</w:t>
      </w:r>
    </w:p>
    <w:p>
      <w:pPr>
        <w:spacing w:after="0" w:line="16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used herein, “People Incorporated,” the “Company,” “we,” “our,” “us” and other similar terms refer to People Incorporated and its subsidiaries (unless the context requires otherwise).</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On June 30, 2026, Dotdash Meredith Inc. amended and restated its certificate of incorporation to change its name to People Inc. Group. As used herein, “People Inc.” refers to People Inc. Group.</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Company’s operating businesses, see “Description of IAC Businesses” included in “Item 1—Business” to the Company’s Annual Report on Form 10-K for the year ended December 31, 2025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April 28, 2026, the Company initiated a plan to consolidate its corporate functions with those of People Inc. through a reduction in workforce, technology integrations and other cost-saving measures over the coming quarters (the “Plan”). The Plan is expected to be completed during the first quarter of 2027.</w:t>
      </w:r>
    </w:p>
    <w:p>
      <w:pPr>
        <w:spacing w:after="0" w:line="17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costs incurred and estimated remaining costs is presented below. All charges related to the Plan are included in “General and administrative expense” in the statement of operations.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5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employee separation benefits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ind w:left="660" w:right="100" w:hanging="328"/>
        <w:spacing w:after="0" w:line="221" w:lineRule="auto"/>
        <w:tabs>
          <w:tab w:leader="none" w:pos="581"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expected stock-based compensation expense of $46.5 million includes $30.8 million of expense associated with awards that were modified to vest in connection with the Plan and $15.7 million of expense associated with awards that accelerate based on the original terms of the award agreements.</w:t>
      </w:r>
    </w:p>
    <w:p>
      <w:pPr>
        <w:spacing w:after="0" w:line="2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and actual amounts may differ from these estimates. In addition, the Company may incur other charges or cash expenditures not currently contemplated due to unanticipated events that may occur in connection with the implementation of the Plan.</w:t>
      </w:r>
    </w:p>
    <w:p>
      <w:pPr>
        <w:spacing w:after="0" w:line="176"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Plan and effective August 5, 2026, Neil Vogel, who previously served as Chief Executive Officer (“CEO”) of People Inc., and Timothy Quinn, who previously served as Chief Financial Officer (“CFO”) of People Inc. were appointed as CEO and CFO, respectively, of the Company. Effective as of the same date, Christopher Halpin ceased serving as Executive Vice President (“EVP”), Chief Operating Officer and CFO of the Company, and Kendall Handler ceased serving as EVP and Chief Legal Officer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Inc. Change to Composition of Operating Segments</w:t>
      </w:r>
    </w:p>
    <w:p>
      <w:pPr>
        <w:spacing w:after="0" w:line="22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Effective January 1, 2026, People Inc. changed its internal management reporting structure to better align and support its D/Cipher advertising capabilities. As a result, the digital portion of a legacy agency business that had previously been included within the People Inc. Print segment now reports to the D/Cipher management team within the People Inc. Digital segment. This change allows D/Cipher to leverage the agency business as a sales channel and to achieve operational and performance efficiencies. As a result of this change, financial information for both the People Inc. Print and Digital segments for prior periods has been recast to conform to the current period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Shutdown of Search Segment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On December 10, 2025, the Company received a notice of non-renewal (the “Notice”) from Google LLC of the services agreement, dated October 26,</w:t>
      </w:r>
    </w:p>
    <w:p>
      <w:pPr>
        <w:spacing w:after="0" w:line="3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2015 and as subsequently amended (the “Services Agreement”). As a result of the Notice, the Services Agreement was due to expire on March 31, 2026; the Services Agreement was extended through April 30, 2026, at which point the Services Agreement expired. In connection with the expiration of the Services Agreement the Company ceased operations of its Search segment, which are presented as discontinued operations within the Company’s consolidated financial statements for all periods presented.</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of Care.com</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March 16, 2026, the Company completed the sale of its wholly-owned subsidiary, Care.com, for net proceeds of $300.2 million. As a result of the transaction, the consolidated operations of Care.com are presented as discontinued operations within the Company’s consolidated financial statements for all periods prior to March 16, 2026.</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Angi Inc. Distribution</w:t>
      </w:r>
    </w:p>
    <w:p>
      <w:pPr>
        <w:spacing w:after="0" w:line="229" w:lineRule="exact"/>
        <w:rPr>
          <w:sz w:val="20"/>
          <w:szCs w:val="20"/>
          <w:color w:val="auto"/>
        </w:rPr>
      </w:pPr>
    </w:p>
    <w:p>
      <w:pPr>
        <w:jc w:val="both"/>
        <w:ind w:right="240" w:firstLine="405"/>
        <w:spacing w:after="0" w:line="281" w:lineRule="auto"/>
        <w:rPr>
          <w:sz w:val="20"/>
          <w:szCs w:val="20"/>
          <w:color w:val="auto"/>
        </w:rPr>
      </w:pPr>
      <w:r>
        <w:rPr>
          <w:rFonts w:ascii="Times New Roman" w:cs="Times New Roman" w:eastAsia="Times New Roman" w:hAnsi="Times New Roman"/>
          <w:sz w:val="17"/>
          <w:szCs w:val="17"/>
          <w:color w:val="auto"/>
        </w:rPr>
        <w:t>On March 31, 2025, the Company completed the spin-off of Angi Inc. (“Angi”) by means of a special dividend (the “Distribution”) of all shares of Angi capital stock held by the Company to holders of its common stock and Class B common stock. Following the Distribution, the Company no longer owns any shares of Angi’s capital stock and Angi became an independent public company. As a result of the Distribution, the consolidated operations of Angi are presented as discontinued operations within the Company’s consolidated financial statements for all periods prior to March 31, 2025.</w:t>
      </w:r>
    </w:p>
    <w:p>
      <w:pPr>
        <w:spacing w:after="0" w:line="164"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13—Discontinued Operations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 and Operating Metrics:</w:t>
      </w:r>
    </w:p>
    <w:p>
      <w:pPr>
        <w:spacing w:after="0" w:line="2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Unless otherwise indicated or as the context otherwise requires, certain terms used in this quarterly report, which include the principal operating metrics we use in managing our business, are defined below:</w:t>
      </w:r>
    </w:p>
    <w:p>
      <w:pPr>
        <w:spacing w:after="0" w:line="158"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Businesses of the Company </w:t>
      </w: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u w:val="single" w:color="auto"/>
          <w:color w:val="0000FF"/>
        </w:rPr>
        <w:t>Note 6—Segment Information</w:t>
      </w:r>
      <w:r>
        <w:rPr>
          <w:rFonts w:ascii="Times New Roman" w:cs="Times New Roman" w:eastAsia="Times New Roman" w:hAnsi="Times New Roman"/>
          <w:sz w:val="18"/>
          <w:szCs w:val="18"/>
          <w:color w:val="auto"/>
        </w:rPr>
        <w:t>” in the accompanying notes to the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340" w:hanging="251"/>
        <w:spacing w:after="0" w:line="262" w:lineRule="auto"/>
        <w:tabs>
          <w:tab w:leader="none" w:pos="33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People Inc. </w:t>
      </w:r>
      <w:r>
        <w:rPr>
          <w:rFonts w:ascii="Times New Roman" w:cs="Times New Roman" w:eastAsia="Times New Roman" w:hAnsi="Times New Roman"/>
          <w:sz w:val="18"/>
          <w:szCs w:val="18"/>
          <w:color w:val="auto"/>
        </w:rPr>
        <w:t>- one of the largest digital and print publishers in America and home to more than 40 celebrated brands, including PEOPLE, Food &amp; Wine,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 + Leisure, InStyle, Better Homes &amp; Gardens and Southern Living, attracting more than 175 million consumers each month. People Inc. has two operating segments: (i) Digital, which includes its digital, mobile and licensing operations; and (ii) Print, which includes its magazine subscription and newsstand operations;</w:t>
      </w:r>
    </w:p>
    <w:p>
      <w:pPr>
        <w:spacing w:after="0" w:line="68" w:lineRule="exact"/>
        <w:rPr>
          <w:rFonts w:ascii="Times New Roman" w:cs="Times New Roman" w:eastAsia="Times New Roman" w:hAnsi="Times New Roman"/>
          <w:sz w:val="18"/>
          <w:szCs w:val="18"/>
          <w:b w:val="1"/>
          <w:bCs w:val="1"/>
          <w:color w:val="auto"/>
        </w:rPr>
      </w:pPr>
    </w:p>
    <w:p>
      <w:pPr>
        <w:ind w:left="320" w:hanging="231"/>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Emerging &amp; Other </w:t>
      </w:r>
      <w:r>
        <w:rPr>
          <w:rFonts w:ascii="Times New Roman" w:cs="Times New Roman" w:eastAsia="Times New Roman" w:hAnsi="Times New Roman"/>
          <w:sz w:val="18"/>
          <w:szCs w:val="18"/>
          <w:color w:val="auto"/>
        </w:rPr>
        <w:t>- consists of:</w:t>
      </w:r>
    </w:p>
    <w:p>
      <w:pPr>
        <w:spacing w:after="0" w:line="117" w:lineRule="exact"/>
        <w:rPr>
          <w:rFonts w:ascii="Times New Roman" w:cs="Times New Roman" w:eastAsia="Times New Roman" w:hAnsi="Times New Roman"/>
          <w:sz w:val="18"/>
          <w:szCs w:val="18"/>
          <w:b w:val="1"/>
          <w:bCs w:val="1"/>
          <w:color w:val="auto"/>
        </w:rPr>
      </w:pPr>
    </w:p>
    <w:p>
      <w:pPr>
        <w:ind w:left="660" w:hanging="24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Vivian Health</w:t>
      </w:r>
      <w:r>
        <w:rPr>
          <w:rFonts w:ascii="Times New Roman" w:cs="Times New Roman" w:eastAsia="Times New Roman" w:hAnsi="Times New Roman"/>
          <w:sz w:val="18"/>
          <w:szCs w:val="18"/>
          <w:color w:val="auto"/>
        </w:rPr>
        <w:t>, a platform to efficiently connect healthcare professionals with job opportunities;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Daily Beast, IAC Films and the operations of certain legacy businesses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hanging="231"/>
        <w:spacing w:after="0"/>
        <w:tabs>
          <w:tab w:leader="none" w:pos="3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People Inc.</w:t>
      </w:r>
    </w:p>
    <w:p>
      <w:pPr>
        <w:spacing w:after="0" w:line="117" w:lineRule="exact"/>
        <w:rPr>
          <w:rFonts w:ascii="Times New Roman" w:cs="Times New Roman" w:eastAsia="Times New Roman" w:hAnsi="Times New Roman"/>
          <w:sz w:val="18"/>
          <w:szCs w:val="18"/>
          <w:b w:val="1"/>
          <w:bCs w:val="1"/>
          <w:i w:val="1"/>
          <w:iCs w:val="1"/>
          <w:color w:val="auto"/>
        </w:rPr>
      </w:pPr>
    </w:p>
    <w:p>
      <w:pPr>
        <w:ind w:left="660" w:hanging="247"/>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Revenue - </w:t>
      </w:r>
      <w:r>
        <w:rPr>
          <w:rFonts w:ascii="Times New Roman" w:cs="Times New Roman" w:eastAsia="Times New Roman" w:hAnsi="Times New Roman"/>
          <w:sz w:val="18"/>
          <w:szCs w:val="18"/>
          <w:color w:val="auto"/>
        </w:rPr>
        <w:t>includes Advertising revenue, Performance marketing revenue and Licensing and other revenue.</w:t>
      </w:r>
    </w:p>
    <w:p>
      <w:pPr>
        <w:spacing w:after="0" w:line="119" w:lineRule="exact"/>
        <w:rPr>
          <w:rFonts w:ascii="Times New Roman" w:cs="Times New Roman" w:eastAsia="Times New Roman" w:hAnsi="Times New Roman"/>
          <w:sz w:val="18"/>
          <w:szCs w:val="18"/>
          <w:color w:val="auto"/>
        </w:rPr>
      </w:pPr>
    </w:p>
    <w:p>
      <w:pPr>
        <w:ind w:left="1300" w:right="20" w:hanging="239"/>
        <w:spacing w:after="0" w:line="284" w:lineRule="auto"/>
        <w:tabs>
          <w:tab w:leader="none" w:pos="129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revenue </w:t>
      </w:r>
      <w:r>
        <w:rPr>
          <w:rFonts w:ascii="Times New Roman" w:cs="Times New Roman" w:eastAsia="Times New Roman" w:hAnsi="Times New Roman"/>
          <w:sz w:val="18"/>
          <w:szCs w:val="18"/>
          <w:color w:val="auto"/>
        </w:rPr>
        <w:t>- primarily includes revenue generated from digital advertisements and intent-based advertising targeting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(D/Cipher), which are sold directly to advertisers or through advertising agencies and programmatic advertising networks.</w:t>
      </w:r>
    </w:p>
    <w:p>
      <w:pPr>
        <w:spacing w:after="0" w:line="50" w:lineRule="exact"/>
        <w:rPr>
          <w:rFonts w:ascii="Times New Roman" w:cs="Times New Roman" w:eastAsia="Times New Roman" w:hAnsi="Times New Roman"/>
          <w:sz w:val="18"/>
          <w:szCs w:val="18"/>
          <w:color w:val="auto"/>
        </w:rPr>
      </w:pPr>
    </w:p>
    <w:p>
      <w:pPr>
        <w:ind w:left="1300" w:hanging="239"/>
        <w:spacing w:after="0" w:line="257" w:lineRule="auto"/>
        <w:tabs>
          <w:tab w:leader="none" w:pos="129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marketing revenue </w:t>
      </w:r>
      <w:r>
        <w:rPr>
          <w:rFonts w:ascii="Times New Roman" w:cs="Times New Roman" w:eastAsia="Times New Roman" w:hAnsi="Times New Roman"/>
          <w:sz w:val="18"/>
          <w:szCs w:val="18"/>
          <w:color w:val="auto"/>
        </w:rPr>
        <w:t>- primarily includes commissions generated through affiliate commerce, performance marketing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affinity marketing channels. Affiliate commerce commission revenue is generated when People Inc.’s branded content refers consumers to commerce partner websites resulting in a purchase or transaction. Performance marketing services commission revenue is generated on a cost-per-click or cost-per-action basis. Affinity marketing programs are arrangements where People Inc. acts as an agent for both People Inc. and third-party publishers to market and place magazine subscriptions online for which commission revenue is earned when a subscriber name has been provided to the publisher.</w:t>
      </w:r>
    </w:p>
    <w:p>
      <w:pPr>
        <w:spacing w:after="0" w:line="74" w:lineRule="exact"/>
        <w:rPr>
          <w:rFonts w:ascii="Times New Roman" w:cs="Times New Roman" w:eastAsia="Times New Roman" w:hAnsi="Times New Roman"/>
          <w:sz w:val="18"/>
          <w:szCs w:val="18"/>
          <w:color w:val="auto"/>
        </w:rPr>
      </w:pPr>
    </w:p>
    <w:p>
      <w:pPr>
        <w:ind w:left="1300" w:right="180" w:hanging="239"/>
        <w:spacing w:after="0" w:line="261" w:lineRule="auto"/>
        <w:tabs>
          <w:tab w:leader="none" w:pos="129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and other revenue </w:t>
      </w:r>
      <w:r>
        <w:rPr>
          <w:rFonts w:ascii="Times New Roman" w:cs="Times New Roman" w:eastAsia="Times New Roman" w:hAnsi="Times New Roman"/>
          <w:sz w:val="18"/>
          <w:szCs w:val="18"/>
          <w:color w:val="auto"/>
        </w:rPr>
        <w:t>- primarily includes revenue generated through brand and content licensing and similar agreements.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generates royalties from long-term trademark licensing agreements with retailers, service providers, publishers and manufacturers. Content licensing royalties are earned from our relationship with Apple News+ as well as other content use and distribution relationships, including utilization in large-language models and other artificial intelligence (“AI”) related activities.</w:t>
      </w:r>
    </w:p>
    <w:p>
      <w:pPr>
        <w:spacing w:after="0" w:line="69" w:lineRule="exact"/>
        <w:rPr>
          <w:rFonts w:ascii="Times New Roman" w:cs="Times New Roman" w:eastAsia="Times New Roman" w:hAnsi="Times New Roman"/>
          <w:sz w:val="18"/>
          <w:szCs w:val="18"/>
          <w:color w:val="auto"/>
        </w:rPr>
      </w:pPr>
    </w:p>
    <w:p>
      <w:pPr>
        <w:ind w:left="660" w:right="200" w:hanging="247"/>
        <w:spacing w:after="0" w:line="268"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Print Revenue </w:t>
      </w:r>
      <w:r>
        <w:rPr>
          <w:rFonts w:ascii="Times New Roman" w:cs="Times New Roman" w:eastAsia="Times New Roman" w:hAnsi="Times New Roman"/>
          <w:sz w:val="18"/>
          <w:szCs w:val="18"/>
          <w:color w:val="auto"/>
        </w:rPr>
        <w:t>- primarily includes Subscription, Advertising, Newsstand, Project and other and Performance marketing revenue. Project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revenue primarily includes revenue from custom publishing. Performance marketing revenue includes revenue from marketing third-party magazine subscriptions.</w:t>
      </w:r>
    </w:p>
    <w:p>
      <w:pPr>
        <w:spacing w:after="0" w:line="62" w:lineRule="exact"/>
        <w:rPr>
          <w:rFonts w:ascii="Times New Roman" w:cs="Times New Roman" w:eastAsia="Times New Roman" w:hAnsi="Times New Roman"/>
          <w:sz w:val="18"/>
          <w:szCs w:val="18"/>
          <w:color w:val="auto"/>
        </w:rPr>
      </w:pPr>
    </w:p>
    <w:p>
      <w:pPr>
        <w:ind w:left="660" w:right="20" w:hanging="247"/>
        <w:spacing w:after="0" w:line="268"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Session-based Revenue </w:t>
      </w:r>
      <w:r>
        <w:rPr>
          <w:rFonts w:ascii="Times New Roman" w:cs="Times New Roman" w:eastAsia="Times New Roman" w:hAnsi="Times New Roman"/>
          <w:sz w:val="18"/>
          <w:szCs w:val="18"/>
          <w:color w:val="auto"/>
        </w:rPr>
        <w:t>- represents revenue related to advertisements served or performance marketing referrals initiated during a session,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as a unique visit to a site that is part of People Inc.’s network. Session-based revenue includes Advertising and Performance marketing revenue earned from People Inc.’s owned and operated or affiliated sites.</w:t>
      </w:r>
    </w:p>
    <w:p>
      <w:pPr>
        <w:spacing w:after="0" w:line="62" w:lineRule="exact"/>
        <w:rPr>
          <w:rFonts w:ascii="Times New Roman" w:cs="Times New Roman" w:eastAsia="Times New Roman" w:hAnsi="Times New Roman"/>
          <w:sz w:val="18"/>
          <w:szCs w:val="18"/>
          <w:color w:val="auto"/>
        </w:rPr>
      </w:pPr>
    </w:p>
    <w:p>
      <w:pPr>
        <w:jc w:val="both"/>
        <w:ind w:left="660" w:right="200" w:hanging="247"/>
        <w:spacing w:after="0" w:line="268"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Non-session-based Revenue </w:t>
      </w:r>
      <w:r>
        <w:rPr>
          <w:rFonts w:ascii="Times New Roman" w:cs="Times New Roman" w:eastAsia="Times New Roman" w:hAnsi="Times New Roman"/>
          <w:sz w:val="18"/>
          <w:szCs w:val="18"/>
          <w:color w:val="auto"/>
        </w:rPr>
        <w:t>- represents revenue not dependent upon a session and primarily includes Advertising and Performance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earned outside a session on People Inc.’s owned and operated or affiliated sites, such as D/Cipher+, native campaigns, social platforms, email and affinity marketing, and all Licensing and other revenue.</w:t>
      </w:r>
    </w:p>
    <w:p>
      <w:pPr>
        <w:spacing w:after="0" w:line="6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Total Sessions </w:t>
      </w:r>
      <w:r>
        <w:rPr>
          <w:rFonts w:ascii="Times New Roman" w:cs="Times New Roman" w:eastAsia="Times New Roman" w:hAnsi="Times New Roman"/>
          <w:sz w:val="18"/>
          <w:szCs w:val="18"/>
          <w:color w:val="auto"/>
        </w:rPr>
        <w:t>- represents unique visits to all sites that are part of People Inc.’s network.</w:t>
      </w:r>
    </w:p>
    <w:p>
      <w:pPr>
        <w:spacing w:after="0" w:line="117" w:lineRule="exact"/>
        <w:rPr>
          <w:rFonts w:ascii="Times New Roman" w:cs="Times New Roman" w:eastAsia="Times New Roman" w:hAnsi="Times New Roman"/>
          <w:sz w:val="18"/>
          <w:szCs w:val="18"/>
          <w:b w:val="1"/>
          <w:bCs w:val="1"/>
          <w:color w:val="auto"/>
        </w:rPr>
      </w:pPr>
    </w:p>
    <w:p>
      <w:pPr>
        <w:ind w:left="660" w:right="40" w:hanging="247"/>
        <w:spacing w:after="0" w:line="286" w:lineRule="auto"/>
        <w:tabs>
          <w:tab w:leader="none" w:pos="655"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Core Sessions </w:t>
      </w:r>
      <w:r>
        <w:rPr>
          <w:rFonts w:ascii="Times New Roman" w:cs="Times New Roman" w:eastAsia="Times New Roman" w:hAnsi="Times New Roman"/>
          <w:sz w:val="18"/>
          <w:szCs w:val="18"/>
          <w:color w:val="auto"/>
        </w:rPr>
        <w:t>- represents a subset of Total Sessions that comprises unique visits to People Inc.’s most significant (in terms of investment)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operated sites as follows:</w:t>
      </w:r>
    </w:p>
    <w:p>
      <w:pPr>
        <w:spacing w:after="0" w:line="9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PEOPLE</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InStyle</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Simply Recipes</w:t>
            </w:r>
          </w:p>
        </w:tc>
      </w:tr>
      <w:tr>
        <w:trPr>
          <w:trHeight w:val="229"/>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Allrecipes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Food &amp; Wine</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Serious Eats</w:t>
            </w:r>
          </w:p>
        </w:tc>
      </w:tr>
      <w:tr>
        <w:trPr>
          <w:trHeight w:val="230"/>
        </w:trPr>
        <w:tc>
          <w:tcPr>
            <w:tcW w:w="37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Investopedia</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Martha Stewart</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EatingWell</w:t>
            </w:r>
          </w:p>
        </w:tc>
      </w:tr>
      <w:tr>
        <w:trPr>
          <w:trHeight w:val="230"/>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Better Homes &amp; Gardens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Byrdie</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Parents</w:t>
            </w:r>
          </w:p>
        </w:tc>
      </w:tr>
      <w:tr>
        <w:trPr>
          <w:trHeight w:val="230"/>
        </w:trPr>
        <w:tc>
          <w:tcPr>
            <w:tcW w:w="3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Verywell Health</w:t>
            </w: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REAL SIMPLE</w:t>
            </w:r>
          </w:p>
        </w:tc>
        <w:tc>
          <w:tcPr>
            <w:tcW w:w="31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Verywell Mind</w:t>
            </w:r>
          </w:p>
        </w:tc>
      </w:tr>
      <w:tr>
        <w:trPr>
          <w:trHeight w:val="229"/>
        </w:trPr>
        <w:tc>
          <w:tcPr>
            <w:tcW w:w="3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The Spruce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Living</w:t>
            </w:r>
          </w:p>
        </w:tc>
        <w:tc>
          <w:tcPr>
            <w:tcW w:w="3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Health</w:t>
            </w:r>
          </w:p>
        </w:tc>
      </w:tr>
      <w:tr>
        <w:trPr>
          <w:trHeight w:val="230"/>
        </w:trPr>
        <w:tc>
          <w:tcPr>
            <w:tcW w:w="37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Travel + Leisure</w:t>
            </w:r>
          </w:p>
        </w:tc>
        <w:tc>
          <w:tcPr>
            <w:tcW w:w="31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5" w:lineRule="exact"/>
        <w:rPr>
          <w:sz w:val="20"/>
          <w:szCs w:val="20"/>
          <w:color w:val="auto"/>
        </w:rPr>
      </w:pPr>
    </w:p>
    <w:p>
      <w:pPr>
        <w:ind w:left="660" w:right="100" w:hanging="247"/>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(exclusive of depreciation) - </w:t>
      </w:r>
      <w:r>
        <w:rPr>
          <w:rFonts w:ascii="Times New Roman" w:cs="Times New Roman" w:eastAsia="Times New Roman" w:hAnsi="Times New Roman"/>
          <w:sz w:val="18"/>
          <w:szCs w:val="18"/>
          <w:color w:val="auto"/>
        </w:rPr>
        <w:t>consists primarily of compensation expense (including stock-based compensation expense)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employee-related costs; production, distribution and editorial costs of the People Inc. Print segment; content costs; traffic acquisition costs, which include payment of amounts based on revenue share and other arrangements; purchases of advertising inventory for advertising campaigns sold with People Inc.’s D/Cipher product; and hosting fees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hanging="247"/>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and marketing expense - </w:t>
      </w:r>
      <w:r>
        <w:rPr>
          <w:rFonts w:ascii="Times New Roman" w:cs="Times New Roman" w:eastAsia="Times New Roman" w:hAnsi="Times New Roman"/>
          <w:sz w:val="18"/>
          <w:szCs w:val="18"/>
          <w:color w:val="auto"/>
        </w:rPr>
        <w:t>consists primarily of advertising expenditures, which include online marketing expenditures, including fees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search engines, social media and other online marketing platforms; offline marketing expenditures, which primarily consists of costs related to direct mail and promotional events; compensation expense (including stock-based compensation expense) and other employee-related costs for sales force and marketing personnel; and subscription acquisition costs of the People Inc. Print segment.</w:t>
      </w:r>
    </w:p>
    <w:p>
      <w:pPr>
        <w:spacing w:after="0" w:line="68" w:lineRule="exact"/>
        <w:rPr>
          <w:rFonts w:ascii="Times New Roman" w:cs="Times New Roman" w:eastAsia="Times New Roman" w:hAnsi="Times New Roman"/>
          <w:sz w:val="18"/>
          <w:szCs w:val="18"/>
          <w:color w:val="auto"/>
        </w:rPr>
      </w:pPr>
    </w:p>
    <w:p>
      <w:pPr>
        <w:ind w:left="660" w:right="60" w:hanging="247"/>
        <w:spacing w:after="0" w:line="25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 - </w:t>
      </w:r>
      <w:r>
        <w:rPr>
          <w:rFonts w:ascii="Times New Roman" w:cs="Times New Roman" w:eastAsia="Times New Roman" w:hAnsi="Times New Roman"/>
          <w:sz w:val="18"/>
          <w:szCs w:val="18"/>
          <w:color w:val="auto"/>
        </w:rPr>
        <w:t>consists primarily of compensation expense (including stock-based compensation expense)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employee-related costs for personnel engaged in executive management, finance, legal, tax, human resources and customer service functions; fees for professional services (including transaction-related costs related to the sale of Care.com, the Distribution and acquisitions); rent expense (including impairments of right-of-use assets or “ROU assets” and gains or losses on the amendments or early terminations of lease agreements) and facilities cost; and software license and maintenance costs.</w:t>
      </w:r>
    </w:p>
    <w:p>
      <w:pPr>
        <w:spacing w:after="0" w:line="71" w:lineRule="exact"/>
        <w:rPr>
          <w:rFonts w:ascii="Times New Roman" w:cs="Times New Roman" w:eastAsia="Times New Roman" w:hAnsi="Times New Roman"/>
          <w:sz w:val="18"/>
          <w:szCs w:val="18"/>
          <w:color w:val="auto"/>
        </w:rPr>
      </w:pPr>
    </w:p>
    <w:p>
      <w:pPr>
        <w:ind w:left="660" w:right="20" w:hanging="247"/>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expense </w:t>
      </w:r>
      <w:r>
        <w:rPr>
          <w:rFonts w:ascii="Times New Roman" w:cs="Times New Roman" w:eastAsia="Times New Roman" w:hAnsi="Times New Roman"/>
          <w:sz w:val="18"/>
          <w:szCs w:val="18"/>
          <w:color w:val="auto"/>
        </w:rPr>
        <w:t>- consists primarily of compensation expense (including stock-based compensation expense) and other employee-related costs; software license and maintenance costs; and third-party contractor costs incurred in connection with the design, development, testing and enhancement of product offerings and related technology. Compensation expense and third-party contractor costs exclude costs that are capitalized as internal-use software development costs.</w:t>
      </w:r>
    </w:p>
    <w:p>
      <w:pPr>
        <w:spacing w:after="0" w:line="68" w:lineRule="exact"/>
        <w:rPr>
          <w:sz w:val="20"/>
          <w:szCs w:val="20"/>
          <w:color w:val="auto"/>
        </w:rPr>
      </w:pPr>
    </w:p>
    <w:p>
      <w:pPr>
        <w:ind w:right="120"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The Company’s long-term debt is solely the liability of People Inc. (For additional information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right="180" w:hanging="247"/>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Loan A-1 </w:t>
      </w:r>
      <w:r>
        <w:rPr>
          <w:rFonts w:ascii="Times New Roman" w:cs="Times New Roman" w:eastAsia="Times New Roman" w:hAnsi="Times New Roman"/>
          <w:sz w:val="18"/>
          <w:szCs w:val="18"/>
          <w:color w:val="auto"/>
        </w:rPr>
        <w:t>- due May 14, 2030. On May 14, 2025, People Inc. entered into the Incremental Assumption Agreement and Amendment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Credit Agreement (“Amendment No. 2”), which replaced $288.8 million of the then outstanding Term Loan A with $350 million of the Term Loan A-1 and provided for a new five-year $150 million revolving credit facility (“Revolving Facility”). At September 30, 2026 and December 31, 2025, the outstanding balance of the Term Loan A-1 was $328.1 million and $341.3 million, respectively, and bore interest at secured overnight financing rate (“SOFR”) plus 2.00%, or 5.90% and 5.73%, respectively. The Term Loan A-1 requires quarterly principal payments, which commenced September 30, 2025, of $4.4 million through December 31, 2027, $8.8 million thereafter through December 31, 2028 and $13.1 million thereafter through maturity.</w:t>
      </w:r>
    </w:p>
    <w:p>
      <w:pPr>
        <w:spacing w:after="0" w:line="74" w:lineRule="exact"/>
        <w:rPr>
          <w:rFonts w:ascii="Times New Roman" w:cs="Times New Roman" w:eastAsia="Times New Roman" w:hAnsi="Times New Roman"/>
          <w:sz w:val="18"/>
          <w:szCs w:val="18"/>
          <w:color w:val="auto"/>
        </w:rPr>
      </w:pPr>
    </w:p>
    <w:p>
      <w:pPr>
        <w:ind w:left="660" w:right="140" w:hanging="247"/>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Loan B-2 </w:t>
      </w:r>
      <w:r>
        <w:rPr>
          <w:rFonts w:ascii="Times New Roman" w:cs="Times New Roman" w:eastAsia="Times New Roman" w:hAnsi="Times New Roman"/>
          <w:sz w:val="18"/>
          <w:szCs w:val="18"/>
          <w:color w:val="auto"/>
        </w:rPr>
        <w:t>- due June 16, 2032. On June 16, 2025, People Inc. completed the refinancing and replacement of its then outstanding $1.18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Term Loan B-1 with a combination of $700 million of the Term Loan B-2 and $400 million of the 7.625% Senior Secured Notes due June 15, 2032 (“2032 Notes”). At September 30, 2026 and December 31, 2025, the outstanding balance of the Term Loan B-2 was $694.8 million and $700.0 million, respectively, and bore interest at SOFR, subject to a minimum of 0.50%, plus 3.50%, or 7.18% and 7.37%, respectively, as the applicable margin was unchanged under the governing agreements. The Term Loan B-2 requires quarterly principal payments of $1.8 million, which commenced March 31, 2026 through maturity.</w:t>
      </w:r>
    </w:p>
    <w:p>
      <w:pPr>
        <w:spacing w:after="0" w:line="7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A, Term Loan A-1, Term Loan B-1 and Term Loan B-2 are collectively referred to herein as the “Term Loans.”</w:t>
      </w:r>
    </w:p>
    <w:p>
      <w:pPr>
        <w:spacing w:after="0" w:line="22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2032 Notes </w:t>
      </w:r>
      <w:r>
        <w:rPr>
          <w:rFonts w:ascii="Times New Roman" w:cs="Times New Roman" w:eastAsia="Times New Roman" w:hAnsi="Times New Roman"/>
          <w:sz w:val="18"/>
          <w:szCs w:val="18"/>
          <w:color w:val="auto"/>
        </w:rPr>
        <w:t>- due June 15, 2032. At September 30, 2026 and December 31, 2025, the outstanding balance of the 2032 Notes was $400.0 million.</w:t>
      </w:r>
    </w:p>
    <w:p>
      <w:pPr>
        <w:spacing w:after="0" w:line="117" w:lineRule="exact"/>
        <w:rPr>
          <w:rFonts w:ascii="Times New Roman" w:cs="Times New Roman" w:eastAsia="Times New Roman" w:hAnsi="Times New Roman"/>
          <w:sz w:val="18"/>
          <w:szCs w:val="18"/>
          <w:color w:val="auto"/>
        </w:rPr>
      </w:pPr>
    </w:p>
    <w:p>
      <w:pPr>
        <w:ind w:left="660" w:right="80" w:hanging="247"/>
        <w:spacing w:after="0" w:line="28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Revolving Facility </w:t>
      </w:r>
      <w:r>
        <w:rPr>
          <w:rFonts w:ascii="Times New Roman" w:cs="Times New Roman" w:eastAsia="Times New Roman" w:hAnsi="Times New Roman"/>
          <w:sz w:val="18"/>
          <w:szCs w:val="18"/>
          <w:color w:val="auto"/>
        </w:rPr>
        <w:t>- is a revolving credit facility of $150 million, which expires on May 14, 2030. To date, People Inc. has never borrowed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revolving credit facilities.</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66" w:lineRule="exact"/>
        <w:rPr>
          <w:sz w:val="20"/>
          <w:szCs w:val="20"/>
          <w:color w:val="auto"/>
        </w:rPr>
      </w:pPr>
    </w:p>
    <w:p>
      <w:pPr>
        <w:ind w:left="660" w:right="160" w:hanging="247"/>
        <w:spacing w:after="0" w:line="245" w:lineRule="auto"/>
        <w:tabs>
          <w:tab w:leader="none" w:pos="628"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Adjusted Earnings Before Interest, Taxes, Depreciation and Amortization (“EBITDA”) </w:t>
      </w:r>
      <w:r>
        <w:rPr>
          <w:rFonts w:ascii="Times New Roman" w:cs="Times New Roman" w:eastAsia="Times New Roman" w:hAnsi="Times New Roman"/>
          <w:sz w:val="18"/>
          <w:szCs w:val="18"/>
          <w:color w:val="auto"/>
        </w:rPr>
        <w:t>- is a non-GAAP financial measure. Beginning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2026, the Company revised its definition of Adjusted EBITDA to also exclude certain items that management believes are not representative of the Company’s core ongoing operating performance and certain items that affect comparability between periods. Adjusted EBITDA has been recast to reflect the revised definition for all periods presented. See “</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8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2026 Compared to the Three and Nine Months Ended September 30, 2025</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6—Segment Information</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revenue of the Company’s segments disaggregated by type of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80" w:type="dxa"/>
            <w:vAlign w:val="bottom"/>
            <w:gridSpan w:val="6"/>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0" w:type="dxa"/>
            <w:vAlign w:val="bottom"/>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People Inc.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288,531</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5,364</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831,700</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791,686</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40,014</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3"/>
              </w:rPr>
              <w:t>5%</w:t>
            </w:r>
          </w:p>
        </w:tc>
      </w:tr>
      <w:tr>
        <w:trPr>
          <w:trHeight w:val="219"/>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(24,996)</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(76,052)</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3"/>
        </w:trPr>
        <w:tc>
          <w:tcPr>
            <w:tcW w:w="2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(13)%</w:t>
            </w:r>
          </w:p>
        </w:tc>
      </w:tr>
      <w:tr>
        <w:trPr>
          <w:trHeight w:val="21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(37,983)</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3,663</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9,626</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19%</w:t>
            </w:r>
          </w:p>
        </w:tc>
      </w:tr>
      <w:tr>
        <w:trPr>
          <w:trHeight w:val="2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eliminations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447,115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(16,295)</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1,273,353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1,301,719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r>
      <w:tr>
        <w:trPr>
          <w:trHeight w:val="20"/>
        </w:trPr>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6"/>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Session-based</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163,575</w:t>
            </w:r>
          </w:p>
        </w:tc>
        <w:tc>
          <w:tcPr>
            <w:tcW w:w="3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(10,600)</w:t>
            </w:r>
          </w:p>
        </w:tc>
        <w:tc>
          <w:tcPr>
            <w:tcW w:w="102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478,634</w:t>
            </w: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3"/>
            <w:shd w:val="clear" w:color="auto" w:fill="CCEEFF"/>
          </w:tcPr>
          <w:p>
            <w:pPr>
              <w:jc w:val="center"/>
              <w:ind w:left="262"/>
              <w:spacing w:after="0"/>
              <w:rPr>
                <w:sz w:val="20"/>
                <w:szCs w:val="20"/>
                <w:color w:val="auto"/>
              </w:rPr>
            </w:pPr>
            <w:r>
              <w:rPr>
                <w:rFonts w:ascii="Times New Roman" w:cs="Times New Roman" w:eastAsia="Times New Roman" w:hAnsi="Times New Roman"/>
                <w:sz w:val="16"/>
                <w:szCs w:val="16"/>
                <w:color w:val="auto"/>
              </w:rPr>
              <w:t>(13,002)</w:t>
            </w:r>
          </w:p>
        </w:tc>
        <w:tc>
          <w:tcPr>
            <w:tcW w:w="980" w:type="dxa"/>
            <w:vAlign w:val="bottom"/>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Non-session-based</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124,956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108,992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CCEEFF"/>
            </w:tcBorders>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282"/>
              <w:spacing w:after="0"/>
              <w:rPr>
                <w:sz w:val="20"/>
                <w:szCs w:val="20"/>
                <w:color w:val="auto"/>
              </w:rPr>
            </w:pPr>
            <w:r>
              <w:rPr>
                <w:rFonts w:ascii="Times New Roman" w:cs="Times New Roman" w:eastAsia="Times New Roman" w:hAnsi="Times New Roman"/>
                <w:sz w:val="16"/>
                <w:szCs w:val="16"/>
                <w:color w:val="auto"/>
              </w:rPr>
              <w:t>53,016</w:t>
            </w:r>
          </w:p>
        </w:tc>
        <w:tc>
          <w:tcPr>
            <w:tcW w:w="9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5"/>
              </w:rPr>
              <w:t>18%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Digital revenue</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288,531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283,167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831,700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791,686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3"/>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rPr>
              <w:t>40,014</w:t>
            </w:r>
          </w:p>
        </w:tc>
        <w:tc>
          <w:tcPr>
            <w:tcW w:w="980" w:type="dxa"/>
            <w:vAlign w:val="bottom"/>
            <w:tcBorders>
              <w:bottom w:val="single" w:sz="8" w:color="CCEEFF"/>
            </w:tcBorders>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3"/>
              </w:rPr>
              <w:t>5%</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metrics: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People Inc.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Total Sessions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2,377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40" w:type="dxa"/>
            <w:vAlign w:val="bottom"/>
          </w:tcPr>
          <w:p>
            <w:pPr>
              <w:spacing w:after="0"/>
              <w:rPr>
                <w:sz w:val="14"/>
                <w:szCs w:val="14"/>
                <w:color w:val="auto"/>
              </w:rPr>
            </w:pPr>
          </w:p>
        </w:tc>
        <w:tc>
          <w:tcPr>
            <w:tcW w:w="11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Core Sessions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40" w:type="dxa"/>
            <w:vAlign w:val="bottom"/>
            <w:shd w:val="clear" w:color="auto" w:fill="CCEEFF"/>
          </w:tcPr>
          <w:p>
            <w:pPr>
              <w:spacing w:after="0"/>
              <w:rPr>
                <w:sz w:val="14"/>
                <w:szCs w:val="14"/>
                <w:color w:val="auto"/>
              </w:rPr>
            </w:pPr>
          </w:p>
        </w:tc>
        <w:tc>
          <w:tcPr>
            <w:tcW w:w="110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 millions)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left="340" w:right="220" w:hanging="251"/>
        <w:spacing w:after="0" w:line="282" w:lineRule="auto"/>
        <w:tabs>
          <w:tab w:leader="none" w:pos="336" w:val="left"/>
        </w:tabs>
        <w:numPr>
          <w:ilvl w:val="0"/>
          <w:numId w:val="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People Inc. revenue decreased $20.0 million, or 5%, to $409.9 million, despite the increase of $5.0 million, or 2%, from Digital, net of intersegment eliminations, due to a decrease of $25.0 million, or 16%, from Print.</w:t>
      </w:r>
    </w:p>
    <w:p>
      <w:pPr>
        <w:spacing w:after="0" w:line="53" w:lineRule="exact"/>
        <w:rPr>
          <w:rFonts w:ascii="Times New Roman" w:cs="Times New Roman" w:eastAsia="Times New Roman" w:hAnsi="Times New Roman"/>
          <w:sz w:val="14"/>
          <w:szCs w:val="14"/>
          <w:b w:val="1"/>
          <w:bCs w:val="1"/>
          <w:i w:val="1"/>
          <w:iCs w:val="1"/>
          <w:color w:val="auto"/>
        </w:rPr>
      </w:pPr>
    </w:p>
    <w:p>
      <w:pPr>
        <w:ind w:left="980" w:hanging="243"/>
        <w:spacing w:after="0" w:line="255"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an increase of $17.3 million, or 49%, in Licensing and other revenue, partially offset by a decrease of $13.5 million or 8% in Advertising revenue. Licensing and other revenue increased due primarily to improved performance of Apple News+ and other content syndication partners and contribution of a content partnership with Meta that was signed in the fourth quarter of 2025. Advertising revenue decreased due primarily to lower premium programmatic volume and decreases in a legacy agency business. Open programmatic advertising revenue also decreased driven by a 26% decline in Core Sessions, due primarily to AI-oriented search and content discovery experiences, partially offset by higher rates. These declines were partially offset by growth in direct-sold advertising primarily in the Health and Pharmaceuticals, Beauty and Style and Food and Beverage categories driven primarily by Non-session based revenue streams.</w:t>
      </w:r>
    </w:p>
    <w:p>
      <w:pPr>
        <w:spacing w:after="0" w:line="80" w:lineRule="exact"/>
        <w:rPr>
          <w:rFonts w:ascii="Times New Roman" w:cs="Times New Roman" w:eastAsia="Times New Roman" w:hAnsi="Times New Roman"/>
          <w:sz w:val="18"/>
          <w:szCs w:val="18"/>
          <w:color w:val="auto"/>
        </w:rPr>
      </w:pPr>
    </w:p>
    <w:p>
      <w:pPr>
        <w:ind w:left="980" w:right="20" w:hanging="243"/>
        <w:spacing w:after="0" w:line="266"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$17.3 million, or 24%, in Subscription revenue and $5.4 million, or 14%, in Advertising revenue. These decreases were due to ongoing portfolio optimizations that resulted in a reduction in the number of issues sold in the current year compared to the prior year and the ongoing migration of audience from print to digital platforms.</w:t>
      </w:r>
    </w:p>
    <w:p>
      <w:pPr>
        <w:spacing w:after="0" w:line="67" w:lineRule="exact"/>
        <w:rPr>
          <w:rFonts w:ascii="Times New Roman" w:cs="Times New Roman" w:eastAsia="Times New Roman" w:hAnsi="Times New Roman"/>
          <w:sz w:val="18"/>
          <w:szCs w:val="18"/>
          <w:color w:val="auto"/>
        </w:rPr>
      </w:pPr>
    </w:p>
    <w:p>
      <w:pPr>
        <w:ind w:left="340" w:right="100" w:hanging="251"/>
        <w:spacing w:after="0" w:line="26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revenue increased $3.7 million, or 21%, to $21.0 million due primarily to increases of $2.3 million, or 39%, from The Daily Beast and $1.9 million, or 18%, from Vivian Health. The increase in revenue from The Daily Beast was driven by advertising, content licensing and subscription revenue growth. The increase in revenue from Vivian Health was due to higher subscription and usage revenue due, in part, to the contribution from its AI Assistant subscription product launched in fourth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left="340" w:right="360" w:hanging="251"/>
        <w:spacing w:after="0" w:line="282" w:lineRule="auto"/>
        <w:tabs>
          <w:tab w:leader="none" w:pos="336"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People Inc. revenue decreased $38.0 million, or 3%, to $1.2 billion, despite the increase of $38.1 million, or 5%, from Digital, net of intersegment eliminations, due to a decrease of $76.1 million, or 16%, from Print.</w:t>
      </w:r>
    </w:p>
    <w:p>
      <w:pPr>
        <w:spacing w:after="0" w:line="53" w:lineRule="exact"/>
        <w:rPr>
          <w:rFonts w:ascii="Times New Roman" w:cs="Times New Roman" w:eastAsia="Times New Roman" w:hAnsi="Times New Roman"/>
          <w:sz w:val="14"/>
          <w:szCs w:val="14"/>
          <w:b w:val="1"/>
          <w:bCs w:val="1"/>
          <w:i w:val="1"/>
          <w:iCs w:val="1"/>
          <w:color w:val="auto"/>
        </w:rPr>
      </w:pPr>
    </w:p>
    <w:p>
      <w:pPr>
        <w:ind w:left="980" w:hanging="243"/>
        <w:spacing w:after="0" w:line="254" w:lineRule="auto"/>
        <w:tabs>
          <w:tab w:leader="none" w:pos="9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increases of $34.5 million, or 33%, in Licensing and other revenue, $16.1 million, or 9%, in Performance marketing revenue, net of intersegment eliminations, partially offset by a $12.5 million, or 3%, decrease in Advertising revenue. The increase in Licensing and other revenue was due primarily to the factors described above in the three-month discussion. Performance marketing revenue increased primarily due to increases in affiliate commerce commission revenue related to higher transaction volumes and the achievement of certain volume-related retailer incentive programs. Advertising revenue decreased due primarily to the factors described above in the three-month discussion. The decrease was partially offset by the growth in direct-sold premium advertising led by the Health and Pharmaceuticals, Beauty and Style and Media and Entertainment categories driven primarily by Non-session based revenue streams. The Company expects the increasing prominence of AI-oriented search and content discovery experiences to continue to negatively impact Advertising revenue.</w:t>
      </w:r>
    </w:p>
    <w:p>
      <w:pPr>
        <w:spacing w:after="0" w:line="80" w:lineRule="exact"/>
        <w:rPr>
          <w:rFonts w:ascii="Times New Roman" w:cs="Times New Roman" w:eastAsia="Times New Roman" w:hAnsi="Times New Roman"/>
          <w:sz w:val="18"/>
          <w:szCs w:val="18"/>
          <w:color w:val="auto"/>
        </w:rPr>
      </w:pPr>
    </w:p>
    <w:p>
      <w:pPr>
        <w:ind w:left="980" w:right="80" w:hanging="243"/>
        <w:spacing w:after="0" w:line="258" w:lineRule="auto"/>
        <w:tabs>
          <w:tab w:leader="none" w:pos="9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$45.4 million, or 21%, in Subscription revenue, $20.1 million, or 18%, in Advertising revenue, $4.6 million or 24%, in Performance marketing revenue and $3.3 million, or 8%, in Project and other revenue. The decreases in Subscription revenue and Advertising revenue were due primarily to the factors described above in the three-month discussion. The decrease in Performance marketing revenue was due to a decrease in renewals following the discontinuation of certain retail relationships. The decrease in Project and other revenue was due primarily to fewer project-related contracts compared to the prior year.</w:t>
      </w:r>
    </w:p>
    <w:p>
      <w:pPr>
        <w:spacing w:after="0" w:line="75" w:lineRule="exact"/>
        <w:rPr>
          <w:rFonts w:ascii="Times New Roman" w:cs="Times New Roman" w:eastAsia="Times New Roman" w:hAnsi="Times New Roman"/>
          <w:sz w:val="18"/>
          <w:szCs w:val="18"/>
          <w:color w:val="auto"/>
        </w:rPr>
      </w:pPr>
    </w:p>
    <w:p>
      <w:pPr>
        <w:ind w:left="340" w:right="100" w:hanging="251"/>
        <w:spacing w:after="0" w:line="26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revenue increased $9.6 million, or 19%, to $61.1 million due primarily to increases of $7.5 million, or 43%, from The Daily Beast and $4.0 million, or 13%, from Vivian Health, partially offset by a decrease in revenue of $1.9 million, or 63%, from IAC Films. The increase in revenue from The Daily Beast and Vivian Health was due primarily to the factors described above in the three-month discussion.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shown separately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(exclusive of</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depreciation shown separately</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155,686</w:t>
            </w:r>
          </w:p>
        </w:tc>
        <w:tc>
          <w:tcPr>
            <w:tcW w:w="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171,852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(16,166)</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464,162</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488,769</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(24,607)</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w:t>
            </w: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in 2026 decreased from 2025 due primarily to a decrease of $16.6 million from People Inc.</w:t>
      </w:r>
    </w:p>
    <w:p>
      <w:pPr>
        <w:spacing w:after="0" w:line="225" w:lineRule="exact"/>
        <w:rPr>
          <w:sz w:val="20"/>
          <w:szCs w:val="20"/>
          <w:color w:val="auto"/>
        </w:rPr>
      </w:pPr>
    </w:p>
    <w:p>
      <w:pPr>
        <w:ind w:left="320" w:hanging="231"/>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to decreases of $10.1 million from Print and $6.6 million from Digital.</w:t>
      </w:r>
    </w:p>
    <w:p>
      <w:pPr>
        <w:spacing w:after="0" w:line="117" w:lineRule="exact"/>
        <w:rPr>
          <w:rFonts w:ascii="Times New Roman" w:cs="Times New Roman" w:eastAsia="Times New Roman" w:hAnsi="Times New Roman"/>
          <w:sz w:val="18"/>
          <w:szCs w:val="18"/>
          <w:color w:val="auto"/>
        </w:rPr>
      </w:pPr>
    </w:p>
    <w:p>
      <w:pPr>
        <w:ind w:left="980" w:right="140" w:hanging="243"/>
        <w:spacing w:after="0" w:line="266" w:lineRule="auto"/>
        <w:tabs>
          <w:tab w:leader="none" w:pos="9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$4.3 million in production and distribution costs (paper, postage, printing and editorial) resulting from the planned reduction in the number of printed copies of certain publications and $3.3 million in severance-related costs incurred in the third quarter of 2025 driven by headcount reductions to better align the business with strategic growth priorities.</w:t>
      </w:r>
    </w:p>
    <w:p>
      <w:pPr>
        <w:spacing w:after="0" w:line="67" w:lineRule="exact"/>
        <w:rPr>
          <w:rFonts w:ascii="Times New Roman" w:cs="Times New Roman" w:eastAsia="Times New Roman" w:hAnsi="Times New Roman"/>
          <w:sz w:val="18"/>
          <w:szCs w:val="18"/>
          <w:color w:val="auto"/>
        </w:rPr>
      </w:pPr>
    </w:p>
    <w:p>
      <w:pPr>
        <w:ind w:left="980" w:right="260" w:hanging="243"/>
        <w:spacing w:after="0" w:line="261" w:lineRule="auto"/>
        <w:tabs>
          <w:tab w:leader="none" w:pos="9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decrease was due primarily to a decrease of $5.1 million in advertising inventory purchases for campaigns sold by a legacy agency business principally related to a corresponding decrease in revenue and improved efficiency as more of the agency’s business is executed via the D/Cipher technology and a $4.4 million decrease in severance-related costs incurred in the third quarter of 2025 driven by headcount reductions to better align the business with strategic growth priorities.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Cost of revenue in 2026 decreased from 2025 due to a decrease of $27.1 million from People Inc., partially offset by an increase of $2.5 million from Emerging &amp; Other.</w:t>
      </w:r>
    </w:p>
    <w:p>
      <w:pPr>
        <w:spacing w:after="0" w:line="54" w:lineRule="exact"/>
        <w:rPr>
          <w:sz w:val="20"/>
          <w:szCs w:val="20"/>
          <w:color w:val="auto"/>
        </w:rPr>
      </w:pPr>
    </w:p>
    <w:p>
      <w:pPr>
        <w:ind w:left="320" w:hanging="231"/>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to decreases of $20.8 million from Print and $6.4 million from Digital.</w:t>
      </w:r>
    </w:p>
    <w:p>
      <w:pPr>
        <w:spacing w:after="0" w:line="117" w:lineRule="exact"/>
        <w:rPr>
          <w:rFonts w:ascii="Times New Roman" w:cs="Times New Roman" w:eastAsia="Times New Roman" w:hAnsi="Times New Roman"/>
          <w:sz w:val="18"/>
          <w:szCs w:val="18"/>
          <w:color w:val="auto"/>
        </w:rPr>
      </w:pPr>
    </w:p>
    <w:p>
      <w:pPr>
        <w:ind w:left="980" w:right="60" w:hanging="243"/>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decreases of $14.7 million in production and distribution costs (postage, paper, printing and editorial) and $3.3 million in severance-related costs, both due primarily to the factors described above in the three-month discussion.</w:t>
      </w:r>
    </w:p>
    <w:p>
      <w:pPr>
        <w:spacing w:after="0" w:line="53" w:lineRule="exact"/>
        <w:rPr>
          <w:rFonts w:ascii="Times New Roman" w:cs="Times New Roman" w:eastAsia="Times New Roman" w:hAnsi="Times New Roman"/>
          <w:sz w:val="18"/>
          <w:szCs w:val="18"/>
          <w:color w:val="auto"/>
        </w:rPr>
      </w:pPr>
    </w:p>
    <w:p>
      <w:pPr>
        <w:ind w:left="980" w:right="160" w:hanging="243"/>
        <w:spacing w:after="0" w:line="261"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decrease was due primarily to a decrease of $4.6 million in advertising inventory purchases and a $4.4 million decrease in severance-related costs due to factors described above in the three-month discussion. These decreases were partially offset by a $4.7 million increase in traffic acquisition costs due primarily to an increase in revenue share payments related to increases in sessions and rates on third-party partner sites.</w:t>
      </w:r>
    </w:p>
    <w:p>
      <w:pPr>
        <w:spacing w:after="0" w:line="71" w:lineRule="exact"/>
        <w:rPr>
          <w:rFonts w:ascii="Times New Roman" w:cs="Times New Roman" w:eastAsia="Times New Roman" w:hAnsi="Times New Roman"/>
          <w:sz w:val="18"/>
          <w:szCs w:val="18"/>
          <w:color w:val="auto"/>
        </w:rPr>
      </w:pPr>
    </w:p>
    <w:p>
      <w:pPr>
        <w:ind w:left="340" w:right="500" w:hanging="251"/>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increase was due primarily to an increase of $1.9 million from The Daily Beast resulting from increases in compensation expense of $1.1 million due primarily to higher headcount and $0.4 million in content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190"/>
        </w:trPr>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8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118,827</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361,765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 in 2026 decreased from 2025 due to a decrease of $11.5 million from People Inc.</w:t>
      </w:r>
    </w:p>
    <w:p>
      <w:pPr>
        <w:spacing w:after="0" w:line="225" w:lineRule="exact"/>
        <w:rPr>
          <w:sz w:val="20"/>
          <w:szCs w:val="20"/>
          <w:color w:val="auto"/>
        </w:rPr>
      </w:pPr>
    </w:p>
    <w:p>
      <w:pPr>
        <w:ind w:left="340" w:right="320" w:hanging="251"/>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to a decrease of $15.0 million from Print, net of intersegment eliminations, partially offset by an increase of $3.5 million from Digital.</w:t>
      </w:r>
    </w:p>
    <w:p>
      <w:pPr>
        <w:spacing w:after="0" w:line="53" w:lineRule="exact"/>
        <w:rPr>
          <w:rFonts w:ascii="Times New Roman" w:cs="Times New Roman" w:eastAsia="Times New Roman" w:hAnsi="Times New Roman"/>
          <w:sz w:val="18"/>
          <w:szCs w:val="18"/>
          <w:color w:val="auto"/>
        </w:rPr>
      </w:pPr>
    </w:p>
    <w:p>
      <w:pPr>
        <w:ind w:left="980" w:right="260" w:hanging="243"/>
        <w:spacing w:after="0" w:line="289" w:lineRule="auto"/>
        <w:tabs>
          <w:tab w:leader="none" w:pos="97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Print decrease was due primarily to decreases of $14.1 million in subscription acquisition costs due primarily to the on-going portfolio optimization changes that reduced the number of issues produced compared to the prior year and $2.2 million in severance-related costs incurred in the third quarter of 2025 driven by headcount reductions to better align the business with strategic growth priorities.</w:t>
      </w:r>
    </w:p>
    <w:p>
      <w:pPr>
        <w:spacing w:after="0" w:line="49" w:lineRule="exact"/>
        <w:rPr>
          <w:rFonts w:ascii="Times New Roman" w:cs="Times New Roman" w:eastAsia="Times New Roman" w:hAnsi="Times New Roman"/>
          <w:sz w:val="17"/>
          <w:szCs w:val="17"/>
          <w:color w:val="auto"/>
        </w:rPr>
      </w:pPr>
    </w:p>
    <w:p>
      <w:pPr>
        <w:ind w:left="980" w:right="100" w:hanging="243"/>
        <w:spacing w:after="0" w:line="261" w:lineRule="auto"/>
        <w:tabs>
          <w:tab w:leader="none" w:pos="9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increase was due primarily to a $4.9 million increase in advertising and events production expense predominately reflecting higher online marketing spend associated with increased paid affiliate commerce commission revenue. This increase was partially offset by a $3.2 million decrease in severance-related costs incurred in the third quarter of 2025 driven by headcount reductions to better align the business with strategic growth priorities.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 in 2026 decreased from 2025 due to a decrease of $24.4 million from People Inc.</w:t>
      </w:r>
    </w:p>
    <w:p>
      <w:pPr>
        <w:spacing w:after="0" w:line="225" w:lineRule="exact"/>
        <w:rPr>
          <w:sz w:val="20"/>
          <w:szCs w:val="20"/>
          <w:color w:val="auto"/>
        </w:rPr>
      </w:pPr>
    </w:p>
    <w:p>
      <w:pPr>
        <w:ind w:left="340" w:right="240" w:hanging="251"/>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decrease was due to a decrease of $41.5 million from Print, net of intersegment eliminations, partially offset by an increase of $17.1 million from Digital.</w:t>
      </w:r>
    </w:p>
    <w:p>
      <w:pPr>
        <w:spacing w:after="0" w:line="53" w:lineRule="exact"/>
        <w:rPr>
          <w:rFonts w:ascii="Times New Roman" w:cs="Times New Roman" w:eastAsia="Times New Roman" w:hAnsi="Times New Roman"/>
          <w:sz w:val="18"/>
          <w:szCs w:val="18"/>
          <w:color w:val="auto"/>
        </w:rPr>
      </w:pPr>
    </w:p>
    <w:p>
      <w:pPr>
        <w:ind w:left="980" w:right="340" w:hanging="243"/>
        <w:spacing w:after="0" w:line="282" w:lineRule="auto"/>
        <w:tabs>
          <w:tab w:leader="none" w:pos="9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 decrease was due primarily to a decrease of $37.0 million in subscription acquisition costs and $2.2 million in severance-related costs, both due primarily to the factors described above in the three-month discussion.</w:t>
      </w:r>
    </w:p>
    <w:p>
      <w:pPr>
        <w:spacing w:after="0" w:line="53" w:lineRule="exact"/>
        <w:rPr>
          <w:rFonts w:ascii="Times New Roman" w:cs="Times New Roman" w:eastAsia="Times New Roman" w:hAnsi="Times New Roman"/>
          <w:sz w:val="18"/>
          <w:szCs w:val="18"/>
          <w:color w:val="auto"/>
        </w:rPr>
      </w:pPr>
    </w:p>
    <w:p>
      <w:pPr>
        <w:jc w:val="both"/>
        <w:ind w:left="980" w:right="580" w:hanging="243"/>
        <w:spacing w:after="0" w:line="312" w:lineRule="auto"/>
        <w:tabs>
          <w:tab w:leader="none" w:pos="97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Digital increase was due primarily to increases of $16.8 million in advertising and events production expense, partially offset by a decrease in severance-related expense of $2.9 million, both due primarily to the factors described above in the three-month discussion.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18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General and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96,552</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108,101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85"/>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312,554</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246,019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66,535</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 expense</w:t>
            </w:r>
          </w:p>
        </w:tc>
        <w:tc>
          <w:tcPr>
            <w:tcW w:w="2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20" w:type="dxa"/>
            <w:vAlign w:val="bottom"/>
          </w:tcPr>
          <w:p>
            <w:pPr>
              <w:spacing w:after="0"/>
              <w:rPr>
                <w:sz w:val="18"/>
                <w:szCs w:val="18"/>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 2026 decreased from 2025 due primarily to a decrease of $21.5 million from Emerging &amp; Other, partially offset by an increase of $9.0 million from Corporate.</w:t>
      </w:r>
    </w:p>
    <w:p>
      <w:pPr>
        <w:spacing w:after="0" w:line="162" w:lineRule="exact"/>
        <w:rPr>
          <w:sz w:val="20"/>
          <w:szCs w:val="20"/>
          <w:color w:val="auto"/>
        </w:rPr>
      </w:pPr>
    </w:p>
    <w:p>
      <w:pPr>
        <w:ind w:left="340" w:right="140" w:hanging="251"/>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the inclusion in the prior year of $21.4 million in costs related to a certain litigation matter that concluded in the third quarter of 2025 related to a legacy business.</w:t>
      </w:r>
    </w:p>
    <w:p>
      <w:pPr>
        <w:spacing w:after="0" w:line="53" w:lineRule="exact"/>
        <w:rPr>
          <w:rFonts w:ascii="Times New Roman" w:cs="Times New Roman" w:eastAsia="Times New Roman" w:hAnsi="Times New Roman"/>
          <w:sz w:val="18"/>
          <w:szCs w:val="18"/>
          <w:color w:val="auto"/>
        </w:rPr>
      </w:pPr>
    </w:p>
    <w:p>
      <w:pPr>
        <w:ind w:left="340" w:right="20" w:hanging="251"/>
        <w:spacing w:after="0" w:line="25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increase was due primarily to an increase in compensation expense of $12.9 million, partially offset by the inclusion in the prior year of $2.2 million in legal costs related to the allocation of a disputed gain on a real estate transaction and a $1.0 million decrease in software license and maintenance costs. The increase in compensation expense was due primarily to the planned reduction in workforce as the Company consolidates its corporate functions with those of People Inc., described above under “Corporate Restructuring,” including an increase of $12.1 million in stock-based compensation expense due primarily to the acceleration and modification of stock-based awards related to the Plan and $0.8 million in severance and employee separation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 2026 increased from 2025 due to increases of $54.7 million from Corporate and $48.8 million from People Inc., partially offset by a decrease of $36.9 million from Emerging &amp; Other.</w:t>
      </w:r>
    </w:p>
    <w:p>
      <w:pPr>
        <w:spacing w:after="0" w:line="162" w:lineRule="exact"/>
        <w:rPr>
          <w:sz w:val="20"/>
          <w:szCs w:val="20"/>
          <w:color w:val="auto"/>
        </w:rPr>
      </w:pPr>
    </w:p>
    <w:p>
      <w:pPr>
        <w:ind w:left="340" w:hanging="251"/>
        <w:spacing w:after="0" w:line="25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increase was due primarily to increases in compensation expense of $58.1 million and transaction-related costs of $2.2 million, partially offset by a net decrease in costs related to certain litigation matters of $1.1 million due, in part, to the inclusion in the prior year of costs related to the allocation of a disputed gain on a real estate transaction. The increase in compensation expense was due primarily to an increase in stock-based compensation expense of $64.1 million, partially offset by a decrease of $4.7 million in severance and employee separation benefits. The increase in stock-based compensation expense was due primarily to the reversal in the prior year of $49.8 million of previously recognized expense related to the forfeiture of our former CEO’s restricted stock award, which was forfeited on January 13, 2025, partially offset by $14.9 million of stock-based compensation expense related to the transfer of 5.0 million Class B shares of Angi held by the Company to our former CEO prior to the Distribution pursuant to his employment transition agreement (the “Employment Transition Agreement”), and the acceleration and modification of stock-based awards in the current year related to the planned reduction in workforce as the Company consolidates its corporate functions with those of People Inc. The decrease in severance and employee separation benefits is due primarily to $14.3 million in separation benefits in the prior year related to our former CEO under his Employment Transition Agreement and $2.3 million in severance and employee separation benefits related to other headcount reductions, partially offset by $11.9 million in severance and employee separation benefits in the current year related to the aforementioned planned reduction in workforce. See “Corporate Restructuring” above for additional information on the reduction in workforce. The increase in transaction-related costs was due, in part, to the inclusion in the current year of third-party costs related to the Company’s proposal to acquire all outstanding shares of MGM not already owned by the Company, which was withdrawn on September 23, 2026, and an increase in costs related to the sale of Care.com on March 16, 2026, partially offset by $4.8 million in costs in the prior year related to the Distribution.</w:t>
      </w:r>
    </w:p>
    <w:p>
      <w:pPr>
        <w:spacing w:after="0" w:line="86" w:lineRule="exact"/>
        <w:rPr>
          <w:rFonts w:ascii="Times New Roman" w:cs="Times New Roman" w:eastAsia="Times New Roman" w:hAnsi="Times New Roman"/>
          <w:sz w:val="18"/>
          <w:szCs w:val="18"/>
          <w:color w:val="auto"/>
        </w:rPr>
      </w:pPr>
    </w:p>
    <w:p>
      <w:pPr>
        <w:ind w:left="340" w:right="120" w:hanging="251"/>
        <w:spacing w:after="0" w:line="277" w:lineRule="auto"/>
        <w:tabs>
          <w:tab w:leader="none" w:pos="3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People Inc. increase was due primarily to an increase of $47.7 million from Other (unallocated corporate costs), principally due to prior year net gains of $41.5 million from the amendments of a lease and an increase of $6.5 million in costs related to certain legal matters. The lease amendments provided for the surrender of certain office space early, reflecting $36.2 million recognized in the first quarter of 2025 and $5.2 million recognized in the third quarter of 2025. The increase in legal costs was due primarily to antitrust litigation against Google. See “</w:t>
      </w:r>
      <w:r>
        <w:rPr>
          <w:rFonts w:ascii="Times New Roman" w:cs="Times New Roman" w:eastAsia="Times New Roman" w:hAnsi="Times New Roman"/>
          <w:sz w:val="17"/>
          <w:szCs w:val="17"/>
          <w:u w:val="single" w:color="auto"/>
          <w:color w:val="0000FF"/>
        </w:rPr>
        <w:t>Note 11—Contingencies</w:t>
      </w:r>
      <w:r>
        <w:rPr>
          <w:rFonts w:ascii="Times New Roman" w:cs="Times New Roman" w:eastAsia="Times New Roman" w:hAnsi="Times New Roman"/>
          <w:sz w:val="17"/>
          <w:szCs w:val="17"/>
          <w:color w:val="auto"/>
        </w:rPr>
        <w:t>” in the accompanying notes to the financial statements included in “</w:t>
      </w:r>
      <w:r>
        <w:rPr>
          <w:rFonts w:ascii="Times New Roman" w:cs="Times New Roman" w:eastAsia="Times New Roman" w:hAnsi="Times New Roman"/>
          <w:sz w:val="17"/>
          <w:szCs w:val="17"/>
          <w:u w:val="single" w:color="auto"/>
          <w:color w:val="0000FF"/>
        </w:rPr>
        <w:t>Item 1. Consolidated Financial Statements</w:t>
      </w:r>
      <w:r>
        <w:rPr>
          <w:rFonts w:ascii="Times New Roman" w:cs="Times New Roman" w:eastAsia="Times New Roman" w:hAnsi="Times New Roman"/>
          <w:sz w:val="17"/>
          <w:szCs w:val="17"/>
          <w:color w:val="auto"/>
        </w:rPr>
        <w:t>” for additional information.</w:t>
      </w:r>
    </w:p>
    <w:p>
      <w:pPr>
        <w:spacing w:after="0" w:line="59" w:lineRule="exact"/>
        <w:rPr>
          <w:rFonts w:ascii="Times New Roman" w:cs="Times New Roman" w:eastAsia="Times New Roman" w:hAnsi="Times New Roman"/>
          <w:sz w:val="17"/>
          <w:szCs w:val="17"/>
          <w:color w:val="auto"/>
        </w:rPr>
      </w:pPr>
    </w:p>
    <w:p>
      <w:pPr>
        <w:ind w:left="340" w:right="120" w:hanging="251"/>
        <w:spacing w:after="0" w:line="28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primarily to the inclusion in the prior year of $33.8 million in costs related to the litigation matter described above in the three-month discussion.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190"/>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102,657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100,994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20" w:type="dxa"/>
            <w:vAlign w:val="bottom"/>
          </w:tcPr>
          <w:p>
            <w:pPr>
              <w:spacing w:after="0"/>
              <w:rPr>
                <w:sz w:val="18"/>
                <w:szCs w:val="18"/>
                <w:color w:val="auto"/>
              </w:rPr>
            </w:pP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Product development expense in 2026 increased from 2025 due primarily to an increase of $1.1 million from Digital at People Inc. due primarily to an increase of $0.6 million in software license and maintenance costs primarily related to AI service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Product development expense in 2026 increased from 2025 due primarily to an increase of $2.3 million from People Inc., partially offset by a decrease of $0.6 million from Emerging &amp; Other.</w:t>
      </w:r>
    </w:p>
    <w:p>
      <w:pPr>
        <w:spacing w:after="0" w:line="162" w:lineRule="exact"/>
        <w:rPr>
          <w:sz w:val="20"/>
          <w:szCs w:val="20"/>
          <w:color w:val="auto"/>
        </w:rPr>
      </w:pPr>
    </w:p>
    <w:p>
      <w:pPr>
        <w:ind w:left="340" w:right="360" w:hanging="251"/>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People Inc. increase was due primarily to $2.8 million from Digital driven primarily by a $1.9 million increase in software license and maintenance costs and $1.1 million increase in contract labor. The increase in software license and maintenance costs is due primarily to the factor described above in the three-month discussion. Contract labor increased to support investments in new initiatives.</w:t>
      </w:r>
    </w:p>
    <w:p>
      <w:pPr>
        <w:spacing w:after="0" w:line="67" w:lineRule="exact"/>
        <w:rPr>
          <w:rFonts w:ascii="Times New Roman" w:cs="Times New Roman" w:eastAsia="Times New Roman" w:hAnsi="Times New Roman"/>
          <w:sz w:val="18"/>
          <w:szCs w:val="18"/>
          <w:color w:val="auto"/>
        </w:rPr>
      </w:pPr>
    </w:p>
    <w:p>
      <w:pPr>
        <w:ind w:left="340" w:right="20" w:hanging="251"/>
        <w:spacing w:after="0" w:line="28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&amp; Other decrease was due, in part, to a decrease of $0.3 million in compensation expense from Vivian Health due, in part, to a reduction in average headcount.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tcPr>
          <w:p>
            <w:pPr>
              <w:spacing w:after="0"/>
              <w:rPr>
                <w:sz w:val="16"/>
                <w:szCs w:val="16"/>
                <w:color w:val="auto"/>
              </w:rPr>
            </w:pPr>
          </w:p>
        </w:tc>
      </w:tr>
      <w:tr>
        <w:trPr>
          <w:trHeight w:val="23"/>
        </w:trPr>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190"/>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(Dollars</w:t>
            </w:r>
          </w:p>
        </w:tc>
        <w:tc>
          <w:tcPr>
            <w:tcW w:w="120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24,044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in 2026 increased from 2025 due primarily to an increase of $1.1 million at People Inc. resulting from an increase in assets placed in service compared to the prior 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Depreciation in 2026 decreased from 2025 due primarily to a decrease of $2.4 million at People Inc. resulting from accelerated depreciation expense recognized in 2025 on certain leasehold improvements in connection with lease amendments to surrender certain unoccupied office space, partially offset by an increase in assets placed in service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r>
      <w:tr>
        <w:trPr>
          <w:trHeight w:val="190"/>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(Dollars</w:t>
            </w:r>
          </w:p>
        </w:tc>
        <w:tc>
          <w:tcPr>
            <w:tcW w:w="120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19,237</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Amortization of intangibles in 2026 decreased from 2025 at People Inc. due primarily to the accelerated amortization of certain usage-based intangible assets and lower expense due to certain intangible assets that became fully amortized in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 in 2026 decreased from 2025 due primarily to the factors described above in the three-month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r>
      <w:tr>
        <w:trPr>
          <w:trHeight w:val="190"/>
        </w:trPr>
        <w:tc>
          <w:tcPr>
            <w:tcW w:w="22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People Inc.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48,684</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125,251</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94,681</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30,570</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32%</w:t>
            </w:r>
          </w:p>
        </w:tc>
      </w:tr>
      <w:tr>
        <w:trPr>
          <w:trHeight w:val="219"/>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(10,688)</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(52)%</w:t>
            </w:r>
          </w:p>
        </w:tc>
      </w:tr>
      <w:tr>
        <w:trPr>
          <w:trHeight w:val="213"/>
        </w:trPr>
        <w:tc>
          <w:tcPr>
            <w:tcW w:w="2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0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61"/>
              <w:spacing w:after="0"/>
              <w:rPr>
                <w:sz w:val="20"/>
                <w:szCs w:val="20"/>
                <w:color w:val="auto"/>
              </w:rPr>
            </w:pPr>
            <w:r>
              <w:rPr>
                <w:rFonts w:ascii="Times New Roman" w:cs="Times New Roman" w:eastAsia="Times New Roman" w:hAnsi="Times New Roman"/>
                <w:sz w:val="16"/>
                <w:szCs w:val="16"/>
                <w:color w:val="auto"/>
              </w:rPr>
              <w:t>(44,975)</w:t>
            </w:r>
          </w:p>
        </w:tc>
        <w:tc>
          <w:tcPr>
            <w:tcW w:w="10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(510)%</w:t>
            </w:r>
          </w:p>
        </w:tc>
      </w:tr>
      <w:tr>
        <w:trPr>
          <w:trHeight w:val="21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10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(25,093)</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24,423</w:t>
            </w:r>
          </w:p>
        </w:tc>
        <w:tc>
          <w:tcPr>
            <w:tcW w:w="120" w:type="dxa"/>
            <w:vAlign w:val="bottom"/>
          </w:tcPr>
          <w:p>
            <w:pPr>
              <w:spacing w:after="0"/>
              <w:rPr>
                <w:sz w:val="18"/>
                <w:szCs w:val="18"/>
                <w:color w:val="auto"/>
              </w:rPr>
            </w:pPr>
          </w:p>
        </w:tc>
        <w:tc>
          <w:tcPr>
            <w:tcW w:w="100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43,933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(54,356)</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(64)%</w:t>
            </w:r>
          </w:p>
        </w:tc>
      </w:tr>
      <w:tr>
        <w:trPr>
          <w:trHeight w:val="20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24,198</w:t>
            </w:r>
          </w:p>
        </w:tc>
        <w:tc>
          <w:tcPr>
            <w:tcW w:w="10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center"/>
              <w:ind w:left="61"/>
              <w:spacing w:after="0"/>
              <w:rPr>
                <w:sz w:val="20"/>
                <w:szCs w:val="20"/>
                <w:color w:val="auto"/>
              </w:rPr>
            </w:pPr>
            <w:r>
              <w:rPr>
                <w:rFonts w:ascii="Times New Roman" w:cs="Times New Roman" w:eastAsia="Times New Roman" w:hAnsi="Times New Roman"/>
                <w:sz w:val="16"/>
                <w:szCs w:val="16"/>
                <w:color w:val="auto"/>
              </w:rPr>
              <w:t>(35,516)</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6"/>
              </w:rPr>
              <w:t>261%</w:t>
            </w: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37"/>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Operating loss decreased $24.2 million, or 89%, to $3.0 million due primarily to decreases of $22.9 million in costs related to certain litigation matters, $14.3 million in restructuring costs, including certain severance and employee separation benefits, $3.3 million in amortization of intangibles and $0.3 million in Adjusted EBITDA, partially offset by an increase of $9.2 million in stock-based compensation expense, the inclusion in the prior year of $5.2 million in net gains from lease impairments, terminations and amendments and certain asset sales at People Inc., an increase of $1.0 million in depreciation and an increase of $0.4 million in transaction-related costs. The increase in stock-based compensation expense was due primarily to the acceleration and modification of stock-based awards related to the planned reduction in workforce as the Company consolidates its corporate functions with those of People Inc. Refer to “Corporate Restructuring” above for 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“General and administrative expense” discussion above for additional details on costs related to certain litigation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Operating loss increased $35.5 million, or 261%, to $49.2 million, despite the increase of $13.9 million in Adjusted EBITDA, described below, due primarily to an increase of $63.7 million in stock-based compensation expense, the inclusion in the prior year of $41.3 million in net gains from lease impairments, terminations and amendments and certain asset sales at People Inc. and an increase of $2.0 million in transaction-related costs, partially offset by decreases of $25.1 million in costs related to certain litigation matters, $19.5 million in restructuring costs, including certain severance and employee separation benefits, $10.0 million in amortization of intangibles and $2.7 million in depreciation. The increase in stock-based compensation expense was due primarily to the reversal in the prior year of previously recognized expense related to the forfeiture of our former CEO’s restricted stock award and the acceleration and modification of stock-based awards related to the planned reduction in workforce described above in the three-month discussion.</w:t>
      </w:r>
    </w:p>
    <w:p>
      <w:pPr>
        <w:spacing w:after="0" w:line="17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Refer to the “General and administrative expenses” discussion above for additional details on stock-based compensation expense, net gains from lease impairments, terminations and amendments and certain asset sales at People Inc., transaction-related costs and costs related to certain litigation matters.</w:t>
      </w:r>
    </w:p>
    <w:p>
      <w:pPr>
        <w:spacing w:after="0" w:line="140" w:lineRule="exact"/>
        <w:rPr>
          <w:sz w:val="20"/>
          <w:szCs w:val="20"/>
          <w:color w:val="auto"/>
        </w:rPr>
      </w:pPr>
    </w:p>
    <w:p>
      <w:pPr>
        <w:ind w:left="80" w:right="360"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2026, there was $46.3 million of unrecognized stock-based compensation cost, net of estimated forfeitures, related to all equity-based awards, which is expected to be recognized over a weighted average period of approximately 1.72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r>
      <w:tr>
        <w:trPr>
          <w:trHeight w:val="190"/>
        </w:trPr>
        <w:tc>
          <w:tcPr>
            <w:tcW w:w="22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People Inc.</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Digital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71,957</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196,500</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177,871</w:t>
            </w:r>
          </w:p>
        </w:tc>
        <w:tc>
          <w:tcPr>
            <w:tcW w:w="8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18,629</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10%</w:t>
            </w:r>
          </w:p>
        </w:tc>
      </w:tr>
      <w:tr>
        <w:trPr>
          <w:trHeight w:val="219"/>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(19,102)</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(44)%</w:t>
            </w:r>
          </w:p>
        </w:tc>
      </w:tr>
      <w:tr>
        <w:trPr>
          <w:trHeight w:val="213"/>
        </w:trPr>
        <w:tc>
          <w:tcPr>
            <w:tcW w:w="2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3"/>
              </w:rPr>
              <w:t>2%</w:t>
            </w:r>
          </w:p>
        </w:tc>
      </w:tr>
      <w:tr>
        <w:trPr>
          <w:trHeight w:val="21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People Inc.</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&amp;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2,501</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6"/>
              </w:rPr>
              <w:t>248%</w:t>
            </w: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2,550</w:t>
            </w:r>
          </w:p>
        </w:tc>
        <w:tc>
          <w:tcPr>
            <w:tcW w:w="10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9%</w:t>
            </w:r>
          </w:p>
        </w:tc>
      </w:tr>
      <w:tr>
        <w:trPr>
          <w:trHeight w:val="20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139,977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126,082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13,895</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11%</w:t>
            </w: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24"/>
        </w:trPr>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revenue</w:t>
            </w:r>
          </w:p>
        </w:tc>
        <w:tc>
          <w:tcPr>
            <w:tcW w:w="24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Principles of Financial Reporting</w:t>
      </w:r>
      <w:r>
        <w:rPr>
          <w:rFonts w:ascii="Times New Roman" w:cs="Times New Roman" w:eastAsia="Times New Roman" w:hAnsi="Times New Roman"/>
          <w:sz w:val="18"/>
          <w:szCs w:val="18"/>
          <w:color w:val="auto"/>
        </w:rPr>
        <w:t>” for the definition of Adjusted EBITDA and required non-GAAP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right="160" w:firstLine="243"/>
        <w:spacing w:after="0" w:line="266" w:lineRule="auto"/>
        <w:rPr>
          <w:sz w:val="20"/>
          <w:szCs w:val="20"/>
          <w:color w:val="auto"/>
        </w:rPr>
      </w:pPr>
      <w:r>
        <w:rPr>
          <w:rFonts w:ascii="Times New Roman" w:cs="Times New Roman" w:eastAsia="Times New Roman" w:hAnsi="Times New Roman"/>
          <w:sz w:val="18"/>
          <w:szCs w:val="18"/>
          <w:color w:val="auto"/>
        </w:rPr>
        <w:t>Approximately one-half of our consolidated annual Adjusted EBITDA is generated in the fourth quarter of each fiscal year. This is due to the concentration of spending by advertisers, which drives higher Advertising revenue, and consumer spending, which drives higher Performance marketing revenue, during the year-end holiday selling season at People Inc.</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left="340" w:right="360" w:hanging="251"/>
        <w:spacing w:after="0" w:line="282" w:lineRule="auto"/>
        <w:tabs>
          <w:tab w:leader="none" w:pos="33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People Inc. Adjusted EBITDA decreased 7% to $70.4 million due primarily to decreases in Adjusted EBITDA of $3.9 million from Print and $1.2 million from Digital.</w:t>
      </w:r>
    </w:p>
    <w:p>
      <w:pPr>
        <w:spacing w:after="0" w:line="53" w:lineRule="exact"/>
        <w:rPr>
          <w:rFonts w:ascii="Times New Roman" w:cs="Times New Roman" w:eastAsia="Times New Roman" w:hAnsi="Times New Roman"/>
          <w:sz w:val="18"/>
          <w:szCs w:val="18"/>
          <w:b w:val="1"/>
          <w:bCs w:val="1"/>
          <w:i w:val="1"/>
          <w:iCs w:val="1"/>
          <w:color w:val="auto"/>
        </w:rPr>
      </w:pPr>
    </w:p>
    <w:p>
      <w:pPr>
        <w:ind w:left="980" w:right="200" w:hanging="243"/>
        <w:spacing w:after="0" w:line="282" w:lineRule="auto"/>
        <w:tabs>
          <w:tab w:leader="none" w:pos="976"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Print Adjusted EBITDA decrease was due primarily to lower revenue, partially offset by lower operating expenses from continued cost rationalization efforts.</w:t>
      </w:r>
    </w:p>
    <w:p>
      <w:pPr>
        <w:spacing w:after="0" w:line="53" w:lineRule="exact"/>
        <w:rPr>
          <w:rFonts w:ascii="Times New Roman" w:cs="Times New Roman" w:eastAsia="Times New Roman" w:hAnsi="Times New Roman"/>
          <w:sz w:val="18"/>
          <w:szCs w:val="18"/>
          <w:b w:val="1"/>
          <w:bCs w:val="1"/>
          <w:color w:val="auto"/>
        </w:rPr>
      </w:pPr>
    </w:p>
    <w:p>
      <w:pPr>
        <w:ind w:left="980" w:right="660" w:hanging="243"/>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Adjusted EBITDA decrease was due to higher selling and marketing expense primarily related to Performance marketing revenue, as well as certain compensation and software license and maintenance costs, partially offset by higher revenue.</w:t>
      </w:r>
    </w:p>
    <w:p>
      <w:pPr>
        <w:spacing w:after="0" w:line="53"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Adjusted EBITDA increased $2.5 million to $3.8 million due primarily to increases at both The Daily Beast and Vivian Health.</w:t>
      </w:r>
    </w:p>
    <w:p>
      <w:pPr>
        <w:spacing w:after="0" w:line="117"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Adjusted EBITDA loss decreased 12% to $19.4 million due primarily to lower operating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left="340" w:right="160" w:hanging="251"/>
        <w:spacing w:after="0" w:line="26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Inc. Adjusted EBITDA was flat compared to the prior year due to an increase in Adjusted EBITDA of $18.6 million from Digital and a decrease of $0.6 million from Other (unallocated corporate costs), offset by a decrease in Adjusted EBITDA of $19.1 million from Print. The Digital Adjusted EBITDA increase was due to higher revenues, partially offset by higher operating expenses. The Print Adjusted EBITDA decrease was due to the factors described above in the three-month discussion.</w:t>
      </w:r>
    </w:p>
    <w:p>
      <w:pPr>
        <w:spacing w:after="0" w:line="71" w:lineRule="exact"/>
        <w:rPr>
          <w:rFonts w:ascii="Times New Roman" w:cs="Times New Roman" w:eastAsia="Times New Roman" w:hAnsi="Times New Roman"/>
          <w:sz w:val="18"/>
          <w:szCs w:val="18"/>
          <w:color w:val="auto"/>
        </w:rPr>
      </w:pPr>
    </w:p>
    <w:p>
      <w:pPr>
        <w:ind w:left="340" w:right="260" w:hanging="251"/>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&amp; Other Adjusted EBITDA increased $7.6 million to $10.7 million due primarily to increases at both The Daily Beast and Vivian Health, partially offset by losses in the current year at IAC Films compared to profits in the prior year.</w:t>
      </w:r>
    </w:p>
    <w:p>
      <w:pPr>
        <w:spacing w:after="0" w:line="53" w:lineRule="exact"/>
        <w:rPr>
          <w:rFonts w:ascii="Times New Roman" w:cs="Times New Roman" w:eastAsia="Times New Roman" w:hAnsi="Times New Roman"/>
          <w:sz w:val="18"/>
          <w:szCs w:val="18"/>
          <w:color w:val="auto"/>
        </w:rPr>
      </w:pPr>
    </w:p>
    <w:p>
      <w:pPr>
        <w:ind w:left="320" w:hanging="231"/>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Adjusted EBITDA loss decreased 9% to $60.3 million due primarily to the factor described above in the three-month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2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r>
      <w:tr>
        <w:trPr>
          <w:trHeight w:val="190"/>
        </w:trPr>
        <w:tc>
          <w:tcPr>
            <w:tcW w:w="2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(26,048)</w:t>
            </w: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2026 decreased from 2025 due to both decreases in the interest rates and amount of debt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Interest expense in 2026 decreased from 2025 due primarily to the inclusion of an $8.5 million extinguishment loss in the second quarter of 2025 in connection with the refinancing of the People Inc. debt, and the factors described above in the three-month discussion.</w:t>
      </w:r>
    </w:p>
    <w:p>
      <w:pPr>
        <w:spacing w:after="0" w:line="162" w:lineRule="exact"/>
        <w:rPr>
          <w:sz w:val="20"/>
          <w:szCs w:val="20"/>
          <w:color w:val="auto"/>
        </w:rPr>
      </w:pPr>
    </w:p>
    <w:p>
      <w:pPr>
        <w:ind w:left="80" w:right="180" w:firstLine="243"/>
        <w:spacing w:after="0" w:line="282" w:lineRule="auto"/>
        <w:rPr>
          <w:sz w:val="20"/>
          <w:szCs w:val="20"/>
          <w:color w:val="auto"/>
        </w:rPr>
      </w:pPr>
      <w:r>
        <w:rPr>
          <w:rFonts w:ascii="Times New Roman" w:cs="Times New Roman" w:eastAsia="Times New Roman" w:hAnsi="Times New Roman"/>
          <w:sz w:val="18"/>
          <w:szCs w:val="18"/>
          <w:color w:val="auto"/>
        </w:rPr>
        <w:t>For further details,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gain on investment in MGM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w w:val="94"/>
              </w:rPr>
              <w:t>(Dollars in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gain on</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(1,119,943)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(1,137,419)</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(364,256)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(364,904)</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MGM</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2026 compared to the three and nine months ended September 30, 2025</w:t>
      </w:r>
    </w:p>
    <w:p>
      <w:pPr>
        <w:spacing w:after="0" w:line="22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At September 30, 2026, the Company owns 66.8 million common shares of MGM, which represents approximately 26.6% of MGM's common shares outstanding; including 1.0 million common shares purchased in the first quarter of 2026 for $37.2 million. The Company accounts for its investment in MGM under the equity method of accounting using the fair value option. The fair value of the investment in MGM is remeasured each reporting period based upon MGM’s closing stock price on the New York Stock Exchange on the last trading day in the reporting period; any unrealized pre-tax gains or losses are included in the statement of operations.</w:t>
      </w:r>
    </w:p>
    <w:p>
      <w:pPr>
        <w:spacing w:after="0" w:line="18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2—Financial Instruments and Fair Value Measurements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 for additional information on the Company’s investment in MGM.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Net gains (losses) on sales of investments and businesses and downward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174,949</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170,375</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the carrying value of equity securities without readily</w:t>
            </w:r>
          </w:p>
        </w:tc>
        <w:tc>
          <w:tcPr>
            <w:tcW w:w="2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determinable fair values </w:t>
            </w:r>
            <w:r>
              <w:rPr>
                <w:rFonts w:ascii="Times New Roman" w:cs="Times New Roman" w:eastAsia="Times New Roman" w:hAnsi="Times New Roman"/>
                <w:sz w:val="21"/>
                <w:szCs w:val="21"/>
                <w:color w:val="auto"/>
                <w:vertAlign w:val="superscript"/>
              </w:rPr>
              <w:t>(a)</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28,403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an unutilized domain name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related to the allocation of a disputed gain on a real estate transaction</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4,122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185,770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210,400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Change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204,217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218,419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Change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right="20" w:hanging="328"/>
        <w:spacing w:after="0"/>
        <w:tabs>
          <w:tab w:leader="none" w:pos="581"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include a pre-tax gain of $174.9 million from the sale of the Company’s limited partner stake in a third-party fund. During the first quarter of 2026, the Company recorded an impairment of $4.6 million related to an equity security without a readily determinable fair value included in the fund. See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Financial Instruments and Fair Value Measurements</w:t>
      </w:r>
      <w:r>
        <w:rPr>
          <w:rFonts w:ascii="Times New Roman" w:cs="Times New Roman" w:eastAsia="Times New Roman" w:hAnsi="Times New Roman"/>
          <w:sz w:val="14"/>
          <w:szCs w:val="14"/>
          <w:color w:val="000000"/>
        </w:rPr>
        <w:t>” in the accompanying notes to the financial statements included in “</w:t>
      </w:r>
      <w:r>
        <w:rPr>
          <w:rFonts w:ascii="Times New Roman" w:cs="Times New Roman" w:eastAsia="Times New Roman" w:hAnsi="Times New Roman"/>
          <w:sz w:val="14"/>
          <w:szCs w:val="14"/>
          <w:u w:val="single" w:color="auto"/>
          <w:color w:val="0000FF"/>
        </w:rPr>
        <w:t>Item 1. Consolidated Financial Statements</w:t>
      </w:r>
      <w:r>
        <w:rPr>
          <w:rFonts w:ascii="Times New Roman" w:cs="Times New Roman" w:eastAsia="Times New Roman" w:hAnsi="Times New Roman"/>
          <w:sz w:val="14"/>
          <w:szCs w:val="14"/>
          <w:color w:val="000000"/>
        </w:rPr>
        <w:t>” for additional</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information.</w:t>
      </w:r>
    </w:p>
    <w:p>
      <w:pPr>
        <w:spacing w:after="0" w:line="333" w:lineRule="exact"/>
        <w:rPr>
          <w:rFonts w:ascii="Times New Roman" w:cs="Times New Roman" w:eastAsia="Times New Roman" w:hAnsi="Times New Roman"/>
          <w:sz w:val="19"/>
          <w:szCs w:val="19"/>
          <w:color w:val="auto"/>
          <w:vertAlign w:val="superscript"/>
        </w:rPr>
      </w:pPr>
    </w:p>
    <w:p>
      <w:pPr>
        <w:ind w:left="580" w:hanging="248"/>
        <w:spacing w:after="0"/>
        <w:tabs>
          <w:tab w:leader="none" w:pos="5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0000FF"/>
        </w:rPr>
        <w:t>Note 11—Contingencies</w:t>
      </w:r>
      <w:r>
        <w:rPr>
          <w:rFonts w:ascii="Times New Roman" w:cs="Times New Roman" w:eastAsia="Times New Roman" w:hAnsi="Times New Roman"/>
          <w:sz w:val="14"/>
          <w:szCs w:val="14"/>
          <w:color w:val="auto"/>
        </w:rPr>
        <w:t>” in the accompanying notes to the financial statements included in “</w:t>
      </w:r>
      <w:r>
        <w:rPr>
          <w:rFonts w:ascii="Times New Roman" w:cs="Times New Roman" w:eastAsia="Times New Roman" w:hAnsi="Times New Roman"/>
          <w:sz w:val="14"/>
          <w:szCs w:val="14"/>
          <w:u w:val="single" w:color="auto"/>
          <w:color w:val="0000FF"/>
        </w:rPr>
        <w:t>Item 1. Consolidated Financial Statements</w:t>
      </w:r>
      <w:r>
        <w:rPr>
          <w:rFonts w:ascii="Times New Roman" w:cs="Times New Roman" w:eastAsia="Times New Roman" w:hAnsi="Times New Roman"/>
          <w:sz w:val="14"/>
          <w:szCs w:val="14"/>
          <w:color w:val="auto"/>
        </w:rPr>
        <w:t>”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r>
      <w:tr>
        <w:trPr>
          <w:trHeight w:val="196"/>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(Dollars</w:t>
            </w:r>
          </w:p>
        </w:tc>
        <w:tc>
          <w:tcPr>
            <w:tcW w:w="1200" w:type="dxa"/>
            <w:vAlign w:val="bottom"/>
            <w:gridSpan w:val="3"/>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278,368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275,260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107,615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40" w:type="dxa"/>
            <w:vAlign w:val="bottom"/>
          </w:tcPr>
          <w:p>
            <w:pPr>
              <w:spacing w:after="0"/>
              <w:rPr>
                <w:sz w:val="18"/>
                <w:szCs w:val="18"/>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8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further details of income tax matters, see “</w:t>
      </w:r>
      <w:r>
        <w:rPr>
          <w:rFonts w:ascii="Times New Roman" w:cs="Times New Roman" w:eastAsia="Times New Roman" w:hAnsi="Times New Roman"/>
          <w:sz w:val="18"/>
          <w:szCs w:val="18"/>
          <w:u w:val="single" w:color="auto"/>
          <w:color w:val="0000FF"/>
        </w:rPr>
        <w:t>Note 8—Income Taxes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2026 compared to the three months ended September 30, 2025</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2026, the effective income tax rate was higher than the statutory rate of 21% due primarily to the realization of a capital loss and state taxes.</w:t>
      </w:r>
    </w:p>
    <w:p>
      <w:pPr>
        <w:spacing w:after="0" w:line="225" w:lineRule="exact"/>
        <w:rPr>
          <w:sz w:val="20"/>
          <w:szCs w:val="20"/>
          <w:color w:val="auto"/>
        </w:rPr>
      </w:pPr>
    </w:p>
    <w:p>
      <w:pPr>
        <w:ind w:left="80" w:right="280" w:firstLine="243"/>
        <w:spacing w:after="0" w:line="282" w:lineRule="auto"/>
        <w:rPr>
          <w:sz w:val="20"/>
          <w:szCs w:val="20"/>
          <w:color w:val="auto"/>
        </w:rPr>
      </w:pPr>
      <w:r>
        <w:rPr>
          <w:rFonts w:ascii="Times New Roman" w:cs="Times New Roman" w:eastAsia="Times New Roman" w:hAnsi="Times New Roman"/>
          <w:sz w:val="18"/>
          <w:szCs w:val="18"/>
          <w:color w:val="auto"/>
        </w:rPr>
        <w:t>In 2025, the effective income tax rate is lower than the statutory rate of 21% due primarily to non-deductible compensation expense and state taxes, partially offset by excess tax benefits generated by the exercise of stock-based awards and research credits.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2026 compared to the nine months ended September 30, 2025</w:t>
      </w:r>
    </w:p>
    <w:p>
      <w:pPr>
        <w:spacing w:after="0" w:line="227" w:lineRule="exact"/>
        <w:rPr>
          <w:sz w:val="20"/>
          <w:szCs w:val="20"/>
          <w:color w:val="auto"/>
        </w:rPr>
      </w:pPr>
    </w:p>
    <w:p>
      <w:pPr>
        <w:ind w:left="80" w:right="620" w:firstLine="243"/>
        <w:spacing w:after="0" w:line="282" w:lineRule="auto"/>
        <w:rPr>
          <w:sz w:val="20"/>
          <w:szCs w:val="20"/>
          <w:color w:val="auto"/>
        </w:rPr>
      </w:pPr>
      <w:r>
        <w:rPr>
          <w:rFonts w:ascii="Times New Roman" w:cs="Times New Roman" w:eastAsia="Times New Roman" w:hAnsi="Times New Roman"/>
          <w:sz w:val="18"/>
          <w:szCs w:val="18"/>
          <w:color w:val="auto"/>
        </w:rPr>
        <w:t>In 2026, the effective income tax rate was higher than the statutory rate of 21% due primarily to the realization of a capital loss and state taxes, partially offset by research credits.</w:t>
      </w:r>
    </w:p>
    <w:p>
      <w:pPr>
        <w:spacing w:after="0" w:line="162" w:lineRule="exact"/>
        <w:rPr>
          <w:sz w:val="20"/>
          <w:szCs w:val="20"/>
          <w:color w:val="auto"/>
        </w:rPr>
      </w:pPr>
    </w:p>
    <w:p>
      <w:pPr>
        <w:ind w:left="80" w:right="340" w:firstLine="243"/>
        <w:spacing w:after="0" w:line="282" w:lineRule="auto"/>
        <w:rPr>
          <w:sz w:val="20"/>
          <w:szCs w:val="20"/>
          <w:color w:val="auto"/>
        </w:rPr>
      </w:pPr>
      <w:r>
        <w:rPr>
          <w:rFonts w:ascii="Times New Roman" w:cs="Times New Roman" w:eastAsia="Times New Roman" w:hAnsi="Times New Roman"/>
          <w:sz w:val="18"/>
          <w:szCs w:val="18"/>
          <w:color w:val="auto"/>
        </w:rPr>
        <w:t>In 2025, the effective income tax rate is lower than the statutory rate of 21% due primarily to non-deductible compensation expense, a deferred tax adjustment and state taxes, partially offset by research credits.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noncontrolling interests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2026 Change</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earnings attributable to</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0" w:firstLine="243"/>
        <w:spacing w:after="0" w:line="261" w:lineRule="auto"/>
        <w:rPr>
          <w:sz w:val="20"/>
          <w:szCs w:val="20"/>
          <w:color w:val="auto"/>
        </w:rPr>
      </w:pPr>
      <w:r>
        <w:rPr>
          <w:rFonts w:ascii="Times New Roman" w:cs="Times New Roman" w:eastAsia="Times New Roman" w:hAnsi="Times New Roman"/>
          <w:sz w:val="18"/>
          <w:szCs w:val="18"/>
          <w:color w:val="auto"/>
        </w:rPr>
        <w:t>Net earnings attributable to noncontrolling interests in the three and nine months ended September 30, 2026 and the three months ended September 30, 2025 primarily represents the allocation of earnings related to certain businesses in Emerging &amp; Other. Net earnings attributable to noncontrolling interests in the nine months ended September 30, 2025 primarily represents the publicly-held interest in Angi’s earnings prior to the Distribution, which was completed on March 31, 2025, partially offset by the allocation of net losses related to certain businesses in Emerging &amp; Other.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PRINCIPLES OF FINANCIAL REPORTING</w:t>
      </w:r>
    </w:p>
    <w:p>
      <w:pPr>
        <w:spacing w:after="0" w:line="22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Company reports Adjusted EBITDA, which is a non-GAAP measure, as a supplemental measure to U.S. generally accepted accounting principles (“GAAP”). This measure is also our primary segment measure of profitability and among the metrics by which we evaluate the performance of our businesses, and our internal budgets are based and may also impact management compensation. We believe that investors and analysts should have access to, and we are obligated to provide, the same set of tools that we use in analyzing our results. This non-GAAP measure should be considered in addition to results prepared in accordance with GAAP but should not be considered a substitute for or superior to GAAP results. The Company endeavors to compensate for the limitations of the non-GAAP measure presented by providing the comparable GAAP measure with equal or greater prominence and descriptions of the reconciling items, including quantifying such items, to derive the non-GAAP measure. We encourage investors to examine the reconciling adjustments between the GAAP and non-GAAP measure, which we discuss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Non-GAAP Measure</w:t>
      </w:r>
    </w:p>
    <w:p>
      <w:pPr>
        <w:spacing w:after="0" w:line="227"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(Earnings Before Interest, Taxes, Depreciation and Amortization) </w:t>
      </w:r>
      <w:r>
        <w:rPr>
          <w:rFonts w:ascii="Times New Roman" w:cs="Times New Roman" w:eastAsia="Times New Roman" w:hAnsi="Times New Roman"/>
          <w:sz w:val="18"/>
          <w:szCs w:val="18"/>
          <w:color w:val="auto"/>
        </w:rPr>
        <w:t>is defined as operating income excluding: (1)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(2) depreciation; (3) acquisition-related items consisting of (i) amortization of intangible assets and impairments of goodwill and intangible assets and (ii) gains and losses recognized on changes in the fair value of contingent consideration arrangements; and (4) other specific items, including subsequent true-up adjustments related to such items, that management believes are not representative of the Company’s core ongoing operating performance and certain items that affect comparability between periods, including, but not limited to, certain (i) restructuring costs, including certain severance and employee separation benefits; (ii) gains and losses from lease impairments, terminations and amendments and certain asset sales; (iii) transaction-related costs; and (iv) litigation-related gains and losses associated with specific matters.</w:t>
      </w:r>
    </w:p>
    <w:p>
      <w:pPr>
        <w:spacing w:after="0" w:line="18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above items are excluded from our Adjusted EBITDA measure because these items are noncash in nature, or because the amount and timing of these items is unpredictable, not driven by core operating results and render comparisons with prior periods and competitors less meaningful. Management uses Adjusted EBITDA to evaluate the Company’s performance and facilitate comparisons of the Company’s operating results between periods. We believe Adjusted EBITDA is a useful measure for analysts and investors to evaluate our future on-going performance as this measure allows a more meaningful comparison of our performance and projected cash earnings with our historical results from prior periods and to the results of our competitors. Moreover, our management uses this measure internally to evaluate the performance of our business as a whole and our individual business segments. Adjusted EBITDA has certain limitations because it excludes the impact of these items.</w:t>
      </w:r>
    </w:p>
    <w:p>
      <w:pPr>
        <w:spacing w:after="0" w:line="18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Prior to the second quarter of 2026, Adjusted EBITDA was defined as operating income excluding: (1) stock-based compensation expense; (2) depreciation; and (3) acquisition-related items consisting of (i) amortization of intangible assets and impairments of goodwill and intangible assets, and (ii) gains and losses recognized on changes in the fair value of contingent consideration arrangements. Beginning with the second quarter of 2026, the Company revised its definition of Adjusted EBITDA to also exclude (4) other specific items, including subsequent true-up adjustments related to such items, that management believes are not representative of the Company’s core ongoing operating performance and certain items that affect comparability between periods. Adjusted EBITDA has been recast to reflect the revised definition for all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Excluded from Our Non-GAAP Measure</w:t>
      </w:r>
    </w:p>
    <w:p>
      <w:pPr>
        <w:spacing w:after="0" w:line="22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principally of expense associated with awards that were granted under various stock and annual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that are denominated in the Company’s common shares. This expense is not paid in cash and we view the economic costs of stock-based awards to be the dilution to our share base; the related shares are included in our fully diluted shares outstanding for GAAP earnings per share using the treasury stock method. The Company currently settles all stock-based awards on a net basis whereby the Company remits from its current funds the required tax-withholding on behalf of employees for net-settled awards.</w:t>
      </w:r>
    </w:p>
    <w:p>
      <w:pPr>
        <w:spacing w:after="0" w:line="183"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is a non-cash expense relating to our buildings, equipment, leasehold improvements and capitalized software and is computed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to allocate the cost of depreciable assets to operations over their estimated useful lives, or, in the case of leasehold improvements, the lease term, if shorter.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and impairments of goodwill and intangible assets </w:t>
      </w:r>
      <w:r>
        <w:rPr>
          <w:rFonts w:ascii="Times New Roman" w:cs="Times New Roman" w:eastAsia="Times New Roman" w:hAnsi="Times New Roman"/>
          <w:sz w:val="18"/>
          <w:szCs w:val="18"/>
          <w:color w:val="auto"/>
        </w:rPr>
        <w:t>are non-cash expenses related primarily to acquisitions.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acquisition, the identifiable definite-lived intangible assets of the acquired company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18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Gains and losses recognized on changes in the fair value of contingent consideration arrangements </w:t>
      </w:r>
      <w:r>
        <w:rPr>
          <w:rFonts w:ascii="Times New Roman" w:cs="Times New Roman" w:eastAsia="Times New Roman" w:hAnsi="Times New Roman"/>
          <w:sz w:val="18"/>
          <w:szCs w:val="18"/>
          <w:color w:val="auto"/>
        </w:rPr>
        <w:t>are accounting adjustments to report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portion of the purchase price of acquisitions, if applicable, that is contingent upon the financial performance and/or operating targets of the acquired company at fair value that are recognized in “General and administrative expense” in the statement of operations. These adjustments can be highly variable and are excluded from our assessment of performance because they are considered non-operational in nature and, therefore, are not indicative of current or future performance or the ongoing cost of doing business. The last such arrangement expired during the year ended December 31, 2022. Therefore, there were no gains or losses on contingent consideration arrangements in the three and nine months ended September 30, 2026 and 2025.</w:t>
      </w:r>
    </w:p>
    <w:p>
      <w:pPr>
        <w:spacing w:after="0" w:line="182"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including certain severance and employee separation benefits </w:t>
      </w:r>
      <w:r>
        <w:rPr>
          <w:rFonts w:ascii="Times New Roman" w:cs="Times New Roman" w:eastAsia="Times New Roman" w:hAnsi="Times New Roman"/>
          <w:sz w:val="18"/>
          <w:szCs w:val="18"/>
          <w:color w:val="auto"/>
        </w:rPr>
        <w:t>relate to certain discrete strategic actions taken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operating efficiencies and to better align its cost structure. Ordinary course severance and employee separation benefits are not considered restructuring costs.</w:t>
      </w:r>
    </w:p>
    <w:p>
      <w:pPr>
        <w:spacing w:after="0" w:line="173" w:lineRule="exact"/>
        <w:rPr>
          <w:sz w:val="20"/>
          <w:szCs w:val="20"/>
          <w:color w:val="auto"/>
        </w:rPr>
      </w:pPr>
    </w:p>
    <w:p>
      <w:pPr>
        <w:ind w:right="3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Gains and losses from lease impairments, terminations and amendments and certain asset sales </w:t>
      </w:r>
      <w:r>
        <w:rPr>
          <w:rFonts w:ascii="Times New Roman" w:cs="Times New Roman" w:eastAsia="Times New Roman" w:hAnsi="Times New Roman"/>
          <w:sz w:val="18"/>
          <w:szCs w:val="18"/>
          <w:color w:val="auto"/>
        </w:rPr>
        <w:t>relate to certain activity to surrender leased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its original lease expiration and the sale of certain assets. These adjustments can be highly variable and are excluded from our assessment of performance because they are considered non-operational in nature and, therefore, are not indicative of current or future performance.</w:t>
      </w:r>
    </w:p>
    <w:p>
      <w:pPr>
        <w:spacing w:after="0" w:line="173" w:lineRule="exact"/>
        <w:rPr>
          <w:sz w:val="20"/>
          <w:szCs w:val="20"/>
          <w:color w:val="auto"/>
        </w:rPr>
      </w:pPr>
    </w:p>
    <w:p>
      <w:pPr>
        <w:ind w:right="8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Transaction-related costs </w:t>
      </w:r>
      <w:r>
        <w:rPr>
          <w:rFonts w:ascii="Times New Roman" w:cs="Times New Roman" w:eastAsia="Times New Roman" w:hAnsi="Times New Roman"/>
          <w:sz w:val="18"/>
          <w:szCs w:val="18"/>
          <w:color w:val="auto"/>
        </w:rPr>
        <w:t>reflect third-party costs incurred in connection with acquisitions, dispositions and spinoffs that are not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core operating activities.</w:t>
      </w:r>
    </w:p>
    <w:p>
      <w:pPr>
        <w:spacing w:after="0" w:line="158" w:lineRule="exact"/>
        <w:rPr>
          <w:sz w:val="20"/>
          <w:szCs w:val="20"/>
          <w:color w:val="auto"/>
        </w:rPr>
      </w:pPr>
    </w:p>
    <w:p>
      <w:pPr>
        <w:ind w:right="3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Litigation matters </w:t>
      </w:r>
      <w:r>
        <w:rPr>
          <w:rFonts w:ascii="Times New Roman" w:cs="Times New Roman" w:eastAsia="Times New Roman" w:hAnsi="Times New Roman"/>
          <w:sz w:val="18"/>
          <w:szCs w:val="18"/>
          <w:color w:val="auto"/>
        </w:rPr>
        <w:t>reflect settlements, judgments, insurance recoveries and related third-party legal costs arising from certain litigation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gains and losses that management determines, based on their nature and circumstances, are outside of the ordinary course of business and not representative of the Company’s core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operating (loss) income to Adjusted EBITDA for the Company’s reportable segments and net earnings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People Incorporated shareholders: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Losses from</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Costs,</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2"/>
                <w:szCs w:val="12"/>
                <w:b w:val="1"/>
                <w:bCs w:val="1"/>
                <w:color w:val="auto"/>
              </w:rPr>
              <w:t>Including</w:t>
            </w:r>
          </w:p>
        </w:tc>
        <w:tc>
          <w:tcPr>
            <w:tcW w:w="100" w:type="dxa"/>
            <w:vAlign w:val="bottom"/>
          </w:tcPr>
          <w:p>
            <w:pPr>
              <w:spacing w:after="0"/>
              <w:rPr>
                <w:sz w:val="9"/>
                <w:szCs w:val="9"/>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Terminations</w:t>
            </w: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Amendments</w:t>
            </w: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1"/>
                <w:szCs w:val="11"/>
                <w:color w:val="auto"/>
              </w:rPr>
            </w:pPr>
          </w:p>
        </w:tc>
        <w:tc>
          <w:tcPr>
            <w:tcW w:w="7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Certain</w:t>
            </w: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gridSpan w:val="3"/>
            <w:vMerge w:val="continue"/>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Benefits</w:t>
            </w:r>
            <w:r>
              <w:rPr>
                <w:rFonts w:ascii="Times New Roman" w:cs="Times New Roman" w:eastAsia="Times New Roman" w:hAnsi="Times New Roman"/>
                <w:sz w:val="18"/>
                <w:szCs w:val="18"/>
                <w:b w:val="1"/>
                <w:bCs w:val="1"/>
                <w:color w:val="auto"/>
                <w:w w:val="96"/>
                <w:vertAlign w:val="superscript"/>
              </w:rPr>
              <w:t>(a)</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 Sales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(b)</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(c)</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48,684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8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71,957</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176"/>
        </w:trPr>
        <w:tc>
          <w:tcPr>
            <w:tcW w:w="2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(unallocated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54,776</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before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from discontinued</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net of income</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People Incorporated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(687,491)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Costs,</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Amendments</w:t>
            </w: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1"/>
                <w:szCs w:val="11"/>
                <w:color w:val="auto"/>
              </w:rPr>
            </w:pP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 Certain</w:t>
            </w: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gridSpan w:val="3"/>
            <w:vMerge w:val="continue"/>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Benefits</w:t>
            </w:r>
            <w:r>
              <w:rPr>
                <w:rFonts w:ascii="Times New Roman" w:cs="Times New Roman" w:eastAsia="Times New Roman" w:hAnsi="Times New Roman"/>
                <w:sz w:val="18"/>
                <w:szCs w:val="18"/>
                <w:b w:val="1"/>
                <w:bCs w:val="1"/>
                <w:color w:val="auto"/>
                <w:w w:val="95"/>
                <w:vertAlign w:val="superscript"/>
              </w:rPr>
              <w:t>(d)</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 Sales</w:t>
            </w:r>
            <w:r>
              <w:rPr>
                <w:rFonts w:ascii="Times New Roman" w:cs="Times New Roman" w:eastAsia="Times New Roman" w:hAnsi="Times New Roman"/>
                <w:sz w:val="9"/>
                <w:szCs w:val="9"/>
                <w:b w:val="1"/>
                <w:bCs w:val="1"/>
                <w:color w:val="auto"/>
              </w:rPr>
              <w:t>(e)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(f)</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(g)</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175"/>
        </w:trPr>
        <w:tc>
          <w:tcPr>
            <w:tcW w:w="22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Other (unallocated corporate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(5,240)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(5,240)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75,715</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8"/>
              </w:rPr>
              <w:t>(5,240)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55,074</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(27,636)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before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from discontinued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People</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shareholders</w:t>
            </w: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Costs,</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Amendments</w:t>
            </w: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1"/>
                <w:szCs w:val="11"/>
                <w:color w:val="auto"/>
              </w:rPr>
            </w:pP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 Certain</w:t>
            </w: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gridSpan w:val="3"/>
            <w:vMerge w:val="continue"/>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Benefits</w:t>
            </w:r>
            <w:r>
              <w:rPr>
                <w:rFonts w:ascii="Times New Roman" w:cs="Times New Roman" w:eastAsia="Times New Roman" w:hAnsi="Times New Roman"/>
                <w:sz w:val="18"/>
                <w:szCs w:val="18"/>
                <w:b w:val="1"/>
                <w:bCs w:val="1"/>
                <w:color w:val="auto"/>
                <w:w w:val="96"/>
                <w:vertAlign w:val="superscript"/>
              </w:rPr>
              <w:t>(a)</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 Sales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(b)</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(c)</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cente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196,500</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0" w:type="dxa"/>
            <w:vAlign w:val="bottom"/>
          </w:tcPr>
          <w:p>
            <w:pPr>
              <w:spacing w:after="0"/>
              <w:rPr>
                <w:sz w:val="1"/>
                <w:szCs w:val="1"/>
                <w:color w:val="auto"/>
              </w:rPr>
            </w:pPr>
          </w:p>
        </w:tc>
      </w:tr>
      <w:tr>
        <w:trPr>
          <w:trHeight w:val="176"/>
        </w:trPr>
        <w:tc>
          <w:tcPr>
            <w:tcW w:w="2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(unallocated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costs)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left="540"/>
              <w:spacing w:after="0"/>
              <w:rPr>
                <w:sz w:val="20"/>
                <w:szCs w:val="20"/>
                <w:color w:val="auto"/>
              </w:rPr>
            </w:pPr>
            <w:r>
              <w:rPr>
                <w:rFonts w:ascii="Times New Roman" w:cs="Times New Roman" w:eastAsia="Times New Roman" w:hAnsi="Times New Roman"/>
                <w:sz w:val="18"/>
                <w:szCs w:val="18"/>
                <w:color w:val="auto"/>
                <w:w w:val="99"/>
              </w:rPr>
              <w:t>(81)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8"/>
                <w:szCs w:val="18"/>
                <w:color w:val="auto"/>
                <w:w w:val="99"/>
              </w:rPr>
              <w:t>(81)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cente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(60,326)</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540"/>
              <w:spacing w:after="0"/>
              <w:rPr>
                <w:sz w:val="20"/>
                <w:szCs w:val="20"/>
                <w:color w:val="auto"/>
              </w:rPr>
            </w:pPr>
            <w:r>
              <w:rPr>
                <w:rFonts w:ascii="Times New Roman" w:cs="Times New Roman" w:eastAsia="Times New Roman" w:hAnsi="Times New Roman"/>
                <w:sz w:val="18"/>
                <w:szCs w:val="18"/>
                <w:color w:val="auto"/>
                <w:w w:val="99"/>
              </w:rPr>
              <w:t>(81)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139,977</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(77,771)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before income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the sale of</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discontinued businesses, net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income taxes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from discontinued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net of income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People Incorporated</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and Employee</w:t>
            </w:r>
          </w:p>
        </w:tc>
        <w:tc>
          <w:tcPr>
            <w:tcW w:w="12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Amendments</w:t>
            </w: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Litigation</w:t>
            </w:r>
          </w:p>
        </w:tc>
        <w:tc>
          <w:tcPr>
            <w:tcW w:w="140" w:type="dxa"/>
            <w:vAlign w:val="bottom"/>
          </w:tcPr>
          <w:p>
            <w:pPr>
              <w:spacing w:after="0"/>
              <w:rPr>
                <w:sz w:val="11"/>
                <w:szCs w:val="11"/>
                <w:color w:val="auto"/>
              </w:rPr>
            </w:pP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and Certain</w:t>
            </w: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9"/>
                <w:szCs w:val="9"/>
                <w:b w:val="1"/>
                <w:bCs w:val="1"/>
                <w:color w:val="auto"/>
              </w:rPr>
              <w:t>(h)</w:t>
            </w:r>
          </w:p>
        </w:tc>
        <w:tc>
          <w:tcPr>
            <w:tcW w:w="1000" w:type="dxa"/>
            <w:vAlign w:val="bottom"/>
            <w:tcBorders>
              <w:bottom w:val="single" w:sz="8" w:color="auto"/>
            </w:tcBorders>
            <w:gridSpan w:val="3"/>
            <w:vMerge w:val="continue"/>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Intangibles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Benefits</w:t>
            </w:r>
            <w:r>
              <w:rPr>
                <w:rFonts w:ascii="Times New Roman" w:cs="Times New Roman" w:eastAsia="Times New Roman" w:hAnsi="Times New Roman"/>
                <w:sz w:val="18"/>
                <w:szCs w:val="18"/>
                <w:b w:val="1"/>
                <w:bCs w:val="1"/>
                <w:color w:val="auto"/>
                <w:w w:val="94"/>
                <w:vertAlign w:val="superscript"/>
              </w:rPr>
              <w:t>(d)(i)</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 Sales</w:t>
            </w:r>
            <w:r>
              <w:rPr>
                <w:rFonts w:ascii="Times New Roman" w:cs="Times New Roman" w:eastAsia="Times New Roman" w:hAnsi="Times New Roman"/>
                <w:sz w:val="9"/>
                <w:szCs w:val="9"/>
                <w:b w:val="1"/>
                <w:bCs w:val="1"/>
                <w:color w:val="auto"/>
              </w:rPr>
              <w:t>(e)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(f)</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Matters</w:t>
            </w:r>
            <w:r>
              <w:rPr>
                <w:rFonts w:ascii="Times New Roman" w:cs="Times New Roman" w:eastAsia="Times New Roman" w:hAnsi="Times New Roman"/>
                <w:sz w:val="18"/>
                <w:szCs w:val="18"/>
                <w:b w:val="1"/>
                <w:bCs w:val="1"/>
                <w:color w:val="auto"/>
                <w:vertAlign w:val="superscript"/>
              </w:rPr>
              <w:t>(g)</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Inc.</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8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177,871</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0" w:type="dxa"/>
            <w:vAlign w:val="bottom"/>
          </w:tcPr>
          <w:p>
            <w:pPr>
              <w:spacing w:after="0"/>
              <w:rPr>
                <w:sz w:val="1"/>
                <w:szCs w:val="1"/>
                <w:color w:val="auto"/>
              </w:rPr>
            </w:pPr>
          </w:p>
        </w:tc>
      </w:tr>
      <w:tr>
        <w:trPr>
          <w:trHeight w:val="175"/>
        </w:trPr>
        <w:tc>
          <w:tcPr>
            <w:tcW w:w="2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(unallocated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costs)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(31,404)</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People Inc.</w:t>
            </w: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189,539</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&amp; Other</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(66,522)</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126,082</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(93,117)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gain 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investment in MGM Resorts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before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from discontinued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net of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attributable to</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People Incorporated</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0" w:lineRule="exact"/>
        <w:rPr>
          <w:sz w:val="20"/>
          <w:szCs w:val="20"/>
          <w:color w:val="auto"/>
        </w:rPr>
      </w:pPr>
    </w:p>
    <w:p>
      <w:pPr>
        <w:ind w:left="660" w:right="220" w:hanging="328"/>
        <w:spacing w:after="0" w:line="230" w:lineRule="auto"/>
        <w:tabs>
          <w:tab w:leader="none" w:pos="533"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at Corporate principally represents costs related to a reduction in force as the Company consolidates its corporate function with those of People Inc. as further described under “Management Overview—Corporate Restructuring”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0" w:hanging="328"/>
        <w:spacing w:after="0" w:line="230" w:lineRule="auto"/>
        <w:tabs>
          <w:tab w:leader="none" w:pos="58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2026 at Corporate include third-party costs related to the Company’s proposal to acquire all outstanding shares of MGM not already owned by the Company, which was withdrawn on September 23, 2026, and third-party costs related to the sale of Care.com on March 16, 2026.</w:t>
      </w:r>
    </w:p>
    <w:p>
      <w:pPr>
        <w:spacing w:after="0" w:line="122" w:lineRule="exact"/>
        <w:rPr>
          <w:rFonts w:ascii="Times New Roman" w:cs="Times New Roman" w:eastAsia="Times New Roman" w:hAnsi="Times New Roman"/>
          <w:sz w:val="19"/>
          <w:szCs w:val="19"/>
          <w:color w:val="auto"/>
          <w:vertAlign w:val="superscript"/>
        </w:rPr>
      </w:pPr>
    </w:p>
    <w:p>
      <w:pPr>
        <w:ind w:left="660" w:right="240" w:hanging="328"/>
        <w:spacing w:after="0" w:line="302" w:lineRule="auto"/>
        <w:tabs>
          <w:tab w:leader="none" w:pos="533"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three and nine months ended September 30, 2026 at People Inc. Other (unallocated corporate costs) and nine months ended September 30, 2026 at People Inc. Digital represents third-party costs primarily related to accruals for certain litigation matters, including antitrust litigation against Google.</w:t>
      </w:r>
    </w:p>
    <w:p>
      <w:pPr>
        <w:spacing w:after="0" w:line="94" w:lineRule="exact"/>
        <w:rPr>
          <w:rFonts w:ascii="Times New Roman" w:cs="Times New Roman" w:eastAsia="Times New Roman" w:hAnsi="Times New Roman"/>
          <w:sz w:val="9"/>
          <w:szCs w:val="9"/>
          <w:color w:val="auto"/>
        </w:rPr>
      </w:pPr>
    </w:p>
    <w:p>
      <w:pPr>
        <w:ind w:left="660" w:right="80" w:hanging="328"/>
        <w:spacing w:after="0" w:line="221" w:lineRule="auto"/>
        <w:tabs>
          <w:tab w:leader="none" w:pos="538"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at People Inc. represents severance-related costs driven by headcount reductions to better align the business with strategic growth priorities.</w:t>
      </w:r>
    </w:p>
    <w:p>
      <w:pPr>
        <w:spacing w:after="0" w:line="136" w:lineRule="exact"/>
        <w:rPr>
          <w:rFonts w:ascii="Times New Roman" w:cs="Times New Roman" w:eastAsia="Times New Roman" w:hAnsi="Times New Roman"/>
          <w:sz w:val="19"/>
          <w:szCs w:val="19"/>
          <w:color w:val="auto"/>
          <w:vertAlign w:val="superscript"/>
        </w:rPr>
      </w:pPr>
    </w:p>
    <w:p>
      <w:pPr>
        <w:ind w:left="660" w:right="60" w:hanging="328"/>
        <w:spacing w:after="0" w:line="233" w:lineRule="auto"/>
        <w:tabs>
          <w:tab w:leader="none" w:pos="581"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at People Inc. Other (unallocated corporate costs) is principally related to gains resulting from amendments to a lease, which provided for the surrender of certain office space early and is included in “General and Administrative expenses” in the statement of operations. Prior to this amendment, the lease for this office space would have expired in 2032. The ROU asset of the amended lease had been previously impaired in prior years.</w:t>
      </w:r>
    </w:p>
    <w:p>
      <w:pPr>
        <w:spacing w:after="0" w:line="136" w:lineRule="exact"/>
        <w:rPr>
          <w:rFonts w:ascii="Times New Roman" w:cs="Times New Roman" w:eastAsia="Times New Roman" w:hAnsi="Times New Roman"/>
          <w:sz w:val="19"/>
          <w:szCs w:val="19"/>
          <w:color w:val="auto"/>
          <w:vertAlign w:val="superscript"/>
        </w:rPr>
      </w:pPr>
    </w:p>
    <w:p>
      <w:pPr>
        <w:ind w:left="660" w:right="40" w:hanging="328"/>
        <w:spacing w:after="0" w:line="230" w:lineRule="auto"/>
        <w:tabs>
          <w:tab w:leader="none" w:pos="60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include third-party costs related to the sale of Care.com and the nine months ended September 30, 2025 also include $4.8 million in third-party costs related to the Distribution in the first quarter of 2025.</w:t>
      </w:r>
    </w:p>
    <w:p>
      <w:pPr>
        <w:spacing w:after="0" w:line="122" w:lineRule="exact"/>
        <w:rPr>
          <w:rFonts w:ascii="Times New Roman" w:cs="Times New Roman" w:eastAsia="Times New Roman" w:hAnsi="Times New Roman"/>
          <w:sz w:val="19"/>
          <w:szCs w:val="19"/>
          <w:color w:val="auto"/>
          <w:vertAlign w:val="superscript"/>
        </w:rPr>
      </w:pPr>
    </w:p>
    <w:p>
      <w:pPr>
        <w:ind w:left="660" w:right="140" w:hanging="328"/>
        <w:spacing w:after="0" w:line="230" w:lineRule="auto"/>
        <w:tabs>
          <w:tab w:leader="none" w:pos="58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three and nine months ended September 30, 2025 at Emerging &amp; Other represents third-party costs related to a certain litigation matter that concluded in the third quarter of 2025 related to a legacy business.</w:t>
      </w:r>
    </w:p>
    <w:p>
      <w:pPr>
        <w:spacing w:after="0" w:line="122" w:lineRule="exact"/>
        <w:rPr>
          <w:rFonts w:ascii="Times New Roman" w:cs="Times New Roman" w:eastAsia="Times New Roman" w:hAnsi="Times New Roman"/>
          <w:sz w:val="19"/>
          <w:szCs w:val="19"/>
          <w:color w:val="auto"/>
          <w:vertAlign w:val="superscript"/>
        </w:rPr>
      </w:pPr>
    </w:p>
    <w:p>
      <w:pPr>
        <w:ind w:left="660" w:hanging="328"/>
        <w:spacing w:after="0" w:line="281" w:lineRule="auto"/>
        <w:tabs>
          <w:tab w:leader="none" w:pos="586"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nine months ended September 30, 2025 at Corporate reflect the reversal of $49.8 million of previously recognized stock-based compensation expense related to the forfeiture of our former CEO’s restricted stock award pursuant to his employment transition agreement, partially offset by $14.9 million of stock-based compensation expense related to the transfer of 5.0 million Class B shares of Angi held by the Company to our former CEO prior to the Distribution pursuant to his employment transition agreement.</w:t>
      </w:r>
    </w:p>
    <w:p>
      <w:pPr>
        <w:spacing w:after="0" w:line="96" w:lineRule="exact"/>
        <w:rPr>
          <w:rFonts w:ascii="Times New Roman" w:cs="Times New Roman" w:eastAsia="Times New Roman" w:hAnsi="Times New Roman"/>
          <w:sz w:val="9"/>
          <w:szCs w:val="9"/>
          <w:color w:val="auto"/>
        </w:rPr>
      </w:pPr>
    </w:p>
    <w:p>
      <w:pPr>
        <w:ind w:left="560" w:hanging="228"/>
        <w:spacing w:after="0"/>
        <w:tabs>
          <w:tab w:leader="none" w:pos="56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nine months ended September 30, 2025 at Corporate primarily represents separation benefits to our former CEO under his employment transition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4"/>
          </w:tcPr>
          <w:p>
            <w:pPr>
              <w:jc w:val="right"/>
              <w:ind w:right="139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People Inc.:</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261,904</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r>
      <w:tr>
        <w:trPr>
          <w:trHeight w:val="223"/>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at People Inc.</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284,318</w:t>
            </w:r>
          </w:p>
        </w:tc>
      </w:tr>
      <w:tr>
        <w:trPr>
          <w:trHeight w:val="196"/>
        </w:trPr>
        <w:tc>
          <w:tcPr>
            <w:tcW w:w="7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entities excluding People Inc.</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653,480</w:t>
            </w:r>
          </w:p>
        </w:tc>
      </w:tr>
      <w:tr>
        <w:trPr>
          <w:trHeight w:val="23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countries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at entities excluding People Inc.</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656,993</w:t>
            </w:r>
          </w:p>
        </w:tc>
      </w:tr>
      <w:tr>
        <w:trPr>
          <w:trHeight w:val="196"/>
        </w:trPr>
        <w:tc>
          <w:tcPr>
            <w:tcW w:w="7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941,311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People Inc. </w:t>
            </w:r>
            <w:r>
              <w:rPr>
                <w:rFonts w:ascii="Times New Roman" w:cs="Times New Roman" w:eastAsia="Times New Roman" w:hAnsi="Times New Roman"/>
                <w:sz w:val="17"/>
                <w:szCs w:val="17"/>
                <w:b w:val="1"/>
                <w:bCs w:val="1"/>
                <w:color w:val="auto"/>
              </w:rPr>
              <w:t>Debt: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A-1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341,250</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B-2</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2032 Notes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1,441,250</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People Inc. long-term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1,401,324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international cash can be repatriated without significant tax consequences.</w:t>
      </w:r>
    </w:p>
    <w:p>
      <w:pPr>
        <w:spacing w:after="0" w:line="225"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Company’s consolidated debt of approximately $1.42 billion is the liability of People Inc. For a detailed description of long-term debt and interest rate swaps,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summary, the Company’s cash flows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4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 attributable to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559"/>
              <w:spacing w:after="0"/>
              <w:rPr>
                <w:sz w:val="20"/>
                <w:szCs w:val="20"/>
                <w:color w:val="auto"/>
              </w:rPr>
            </w:pPr>
            <w:r>
              <w:rPr>
                <w:rFonts w:ascii="Times New Roman" w:cs="Times New Roman" w:eastAsia="Times New Roman" w:hAnsi="Times New Roman"/>
                <w:sz w:val="18"/>
                <w:szCs w:val="18"/>
                <w:color w:val="auto"/>
                <w:w w:val="99"/>
              </w:rPr>
              <w:t>105,582</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 attributable to continuing operations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9"/>
              </w:rPr>
              <w:t>434,152</w:t>
            </w:r>
          </w:p>
        </w:tc>
        <w:tc>
          <w:tcPr>
            <w:tcW w:w="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(369,918)</w:t>
            </w: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 attributable to continuing operations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519"/>
              <w:spacing w:after="0"/>
              <w:rPr>
                <w:sz w:val="20"/>
                <w:szCs w:val="20"/>
                <w:color w:val="auto"/>
              </w:rPr>
            </w:pPr>
            <w:r>
              <w:rPr>
                <w:rFonts w:ascii="Times New Roman" w:cs="Times New Roman" w:eastAsia="Times New Roman" w:hAnsi="Times New Roman"/>
                <w:sz w:val="18"/>
                <w:szCs w:val="18"/>
                <w:color w:val="auto"/>
                <w:w w:val="99"/>
              </w:rPr>
              <w:t>(187,075)</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(419,059)</w:t>
            </w:r>
          </w:p>
        </w:tc>
      </w:tr>
    </w:tbl>
    <w:p>
      <w:pPr>
        <w:spacing w:after="0" w:line="28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consists of net loss attributable to continuing operations adjusted for non-cash items and the effect of changes in working capital. Non-cash adjustments include the unrealized loss (gain) on the investment in MGM, net (gains) losses on sales of investments and businesses and net downward adjustments to the carrying value of equity securities without readily determinable fair values, amortization of intangibles, depreciation, stock-based compensation expense, deferred income taxes, non-cash lease expense (including ROU asset impairments), net gains on amendments and early terminations of lease agreements and gain on sale of an unutilized domain name in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Adjustments to net loss attributable to continuing operations consist primarily of an unrealized loss on the investment in MGM of $364.3 million, stock-based compensation expense of $76.5 million, amortization of intangibles of $57.3 million, depreciation of $24.0 million and non-cash lease expense of $22.8 million, partially offset by net gains on sales of investments and downward adjustments to the carrying value of equity securities without readily determinable fair values of $170.4 million (including gain of $174.9 million from the sale of the Company’s limited partner stake in a third-party fund), deferred income taxes of $111.7 million and gain on sale of an unutilized domain name of $7.5 million. The changes in working capital include a decrease in accounts receivable of $69.7 million, partially offset by a decrease in operating lease liabilities of $32.1 million and a decrease in accounts payable and other liabilities of $26.2 million. The decrease in accounts receivable is due primarily to a decrease in revenue in the third quarter of 2026 relative to the fourth quarter of 2025 at People Inc. The decrease in operating lease liabilities is due to cash payments on leases, including the final remaining payment of $4.3 million related to an amendment of a lease in the prior year, which provided for the surrender of certain office space early at People Inc., net of interest accretion. The decrease in accounts payable and other liabilities is due primarily to a decrease in accrued employee compensation, due primarily to timing of payments, including the payment of 2025 bonuses in 2026, partially offset by an increase in accrued severance and employee separation benefits related to the reduction in workforce as the Company consolidates its corporate functions with those of People Inc. described above under “Management Overview —Corporate Restructuring,” and a decrease in accrued advertising at People Inc.</w:t>
      </w:r>
    </w:p>
    <w:p>
      <w:pPr>
        <w:spacing w:after="0" w:line="18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attributable to continuing operations includes net proceeds from the sale of Care.com of $300.2 million, net proceeds from the sale of investments of $185.1 million, which is principally related to the sale of the Company’s limited partner stake in a third-party fund, and proceeds from the sale of an unutilized domain name of $7.5 million, partially offset by the purchase of 1.0 million common shares of MGM for $37.2 million and capital expenditures of $25.3 million, primarily related to leasehold improvements in connection with the optimization of the remaining space under certain amended leases and investments in capitalized software.</w:t>
      </w:r>
    </w:p>
    <w:p>
      <w:pPr>
        <w:spacing w:after="0" w:line="18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includes $133.3 million for the repurchase of 3.5 million shares of common stock, on a settlement date basis, at an average price of $37.88 per share, withholding taxes paid on behalf of employees for net settled stock-based awards of $42.2 million and principal payments on the Term Loans of $18.4 million, partially offset by distributions from Angi Inc. pursuant to the tax sharing agreement of $9.1 million.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22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Adjustments to net loss attributable to continuing operations consist primarily of amortization of intangibles of $67.4 million, loss related to the allocation of a disputed gain on a real estate transaction of $32.6 million, depreciation of $26.7 million, non-cash lease expense (including ROU asset impairments) of $25.5 million, net downward adjustments to the carrying value of equity securities without readily determinable fair values and net gains on sales of investments and a business of $18.8 million, and stock-based compensation expense of $12.8 million, partially offset by net gains on amendments and early terminations of lease agreements of $42.2 million and deferred income taxes of $6.6 million. The changes in working capital include a decrease in operating lease liabilities of $77.8 million and an increase in other assets of $8.4 million, partially offset by a decrease in accounts receivable of $50.4 million and an increase in accounts payable and other liabilities of $3.3 million. The decrease in operating lease liabilities is due to cash payments on leases, including $47.4 million related to amendments of leases, which provided for the surrender of certain office space early at People Inc., net of interest accretion. The increase in other assets is due primarily to a net increase in amounts due from insurance companies for a certain legal matter at Corporate, partially offset by a decrease in prepaid hosting services at People Inc. The decrease in accounts receivable is due primarily to a decrease in revenue in the third quarter of 2025 relative to the fourth quarter of 2024 at People Inc. The increase in accounts payable and other liabilities is due, in part, to a net increase in accruals related to the resolution of certain legal matters at Corporate and Emerging &amp; Other, partially offset by a decrease in accrued employee compensation, due primarily to payment of 2024 bonuses in 2025, partially offset by the accrual of separation benefits to our former CEO under the Employment Transition Agreement.</w:t>
      </w:r>
    </w:p>
    <w:p>
      <w:pPr>
        <w:spacing w:after="0" w:line="19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includes $386.6 million related to the allocation of Angi Inc.’s cash in the Distribution and capital expenditures of $12.6 million, partially offset by the proceeds from the sale of a portion of the retirement investment fund of $11.9 million at People Inc. and net proceeds from the sales of investments of $9.9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includes principal payments on the Term Loans of $1.4 billion and debt issuance and deferred financing costs of $12.9 million, partially offset by the net proceeds from the Term Loans refinancing of $991.5 million and proceeds from the issuance of the 2032 Notes of $400.0 million. Net cash used in financing activities attributable to continuing operations also includes $300.0 million for the repurchase of 7.3 million shares of common stock, on a settlement date basis, for an average price of $41.35 per share, and withholding taxes paid on behalf of employees for net settled stock-based awards of $67.1 million.</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discontinued operations of $10.8 million for the nine months ended September 30, 2026 relates to the operations of Care.com and Search and the net cash used in discontinued operations of $3.5 million for the nine months ended September 30, 2025 relates to the operations of Care.com, Search and Angi. The Company does not expect significant future cash flows to be used in or provided by its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the Term Loan A-1 bore interest at SOFR plus 2.00%, or 5.90% and the Term Loan B-2 bore interest at SOFR, subject to a minimum of 0.50%, plus 3.50%, or 7.18%.</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People Inc. holds interest rate swaps that synthetically convert $350 million of the Term Loan B-2 from a variable rate to a fixed rate through April 1, 2027. Should SOFR continue to equal or exceed 0.50%, then the fixed rate for the Term Loan B-2 will be approximately 7.32% ((i) the weighted average fixed interest rate of approximately 3.82% on the interest rate swaps and (ii) the base rate of 3.50%). In the event SOFR becomes less than or equal to 0.50%then the interest rate swaps would be fixed in a range from approximately 7.32% to 7.42% as determined by the governing agreements.</w:t>
      </w:r>
    </w:p>
    <w:p>
      <w:pPr>
        <w:spacing w:after="0" w:line="18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For a detailed description of long-term debt and interest rate swaps, 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 Statements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MGM</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owns 66.8 million common shares of MGM, which represents approximately 26.6% of MGM's common shares outstanding; including 1.0 million common shares purchased in the first quarter of 2026 for $37.2 million.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Turo</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2026, the Company’s ownership interest in Turo is approximately 33%.</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Activity and Authorization</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3.5 million shares of its common stock, on a trade date basis, at $37.86 per share, or $132.2 million in aggregate, under the 10 million share repurchase authorization approved by the board of directors of the Company on March 16, 2025. On June 16, 2026, the board of directors of the Company approved an authorization for the Company to repurchase an additional 10 million shares of the Company’s common stock. At October 30, 2026, the Company has 12.5 million shares remaining under its authorization.</w:t>
      </w:r>
    </w:p>
    <w:p>
      <w:pPr>
        <w:spacing w:after="0" w:line="18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there have been no material changes to the Company’s contractual obligations disclosures as previously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anticipates that it will need to continue to make capital expenditures in connection with the development and expansion of its operations. The Company’s 2026 capital expenditures are expected to be higher than its 2025 capital expenditures of $17.7 million by approximately 60% to 70%, due primarily to the leasehold improvements described above.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Assessment</w:t>
      </w:r>
    </w:p>
    <w:p>
      <w:pPr>
        <w:spacing w:after="0" w:line="229"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On a consolidated basis, the Company generated positive cash flows from operating activities of $105.6 million for the nine months ended September 30, 2026; excluding the positive cash flows from operating activities of $152.4 million generated by People Inc., the Company generated negative cash flows from operating activities of $46.8 million.</w:t>
      </w:r>
    </w:p>
    <w:p>
      <w:pPr>
        <w:spacing w:after="0" w:line="17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At September 30, 2026, the Company’s consolidated cash and cash equivalents were $1.3 billion, of which $372.4 million was held by People Inc., and the consolidated debt at September 30, 2026 of approximately $1.4 billion is solely the liability of People Inc. If defined consolidated net leverage ratios are exceeded or if an event of default has occurred, the governing agreements contain additional covenants that would limit People Inc.’s ability to pay dividends, incur incremental secured indebtedness or make distributions or certain investments. As a result, the Company may not be able to freely access People Inc.’s cash. People Inc.’s consolidated net leverage ratio was in compliance for the test period ended September 30, 2026.</w:t>
      </w:r>
    </w:p>
    <w:p>
      <w:pPr>
        <w:spacing w:after="0" w:line="18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governing agreements allow the Company to contribute cash to People Inc., which the Company has done in the past and may do so in the future, to provide, among other things, additional liquidity to improve People Inc.’s consolidated net leverage ratios for any test period, which may result in improved interest rates on the Term Loan A-1 and reduced commitment fees on the Revolving Facility. The governing agreements also allow People Inc. to make distributions to the Company in amounts not to exceed these capital contributions, provided that no default has occurred and is continuing. No quarterly contributions have been made to People Inc. since the $55.0 million contribution that the Company made in September 2025, which People Inc. distributed back to the Company in October 2025; therefore, there were no pending contributions or distributions outstanding as of September 30, 2026 and December 31, 2025.</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liquidity could be negatively affected by a decrease in demand for its products and services resulting from adverse market, macroeconomic or geopolitical conditions, including declines in consumer confidence or spending, high or volatile interest rates, inflationary pressures, labor market disruptions or other factors that reduce customers’ willingness or ability to pay for our offerings. In addition, the outcome of pending legal proceedings, including those discussed in “</w:t>
      </w:r>
      <w:r>
        <w:rPr>
          <w:rFonts w:ascii="Times New Roman" w:cs="Times New Roman" w:eastAsia="Times New Roman" w:hAnsi="Times New Roman"/>
          <w:sz w:val="18"/>
          <w:szCs w:val="18"/>
          <w:u w:val="single" w:color="auto"/>
          <w:color w:val="0000FF"/>
        </w:rPr>
        <w:t>Note 11—Contingencies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Statements</w:t>
      </w:r>
      <w:r>
        <w:rPr>
          <w:rFonts w:ascii="Times New Roman" w:cs="Times New Roman" w:eastAsia="Times New Roman" w:hAnsi="Times New Roman"/>
          <w:sz w:val="18"/>
          <w:szCs w:val="18"/>
          <w:color w:val="000000"/>
        </w:rPr>
        <w:t>,” could affect liquidity either positively or negatively.</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believes People Inc.’s existing cash, cash equivalents and expected positive cash flows from operations, and the Company’s existing cash and cash equivalents, excluding People Inc., will be sufficient to fund their respective normal operating requirements, including capital expenditures, debt service, the payment of withholding taxes on behalf of employees for net-settled stock-based awards and investing and other commitments for the next twelve months, and thereafter for the foreseeable future. The Company may need to raise additional capital through future debt or equity financing to refinance its existing capital structure and make acquisitions and investments. Additional financing may not be available on terms favorable to the Company, or at all, and may also be impacted by any disruptions or volatility in the financial markets. The indebtedness at People Inc. could further limit the Company’s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owns 66.8 million common shares of MGM Resorts International (“MGM”). The Company accounts for its investment in MGM under the equity method of accounting and has elected to account for this investment using the fair value option.</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cumulative unrealized net pre-tax gain at September 30, 2026 is $733.7 million. At September 30, 2026 and December 31, 2025, the carrying value of the Company’s investment in MGM, which includes the cumulative unrealized pre-tax gains, was $2.1 billion and $2.4 billion, or approximately 32% and 33% of the Company’s consolidated total assets, respectively. A $2.00 increase or decrease in the share price of MGM would result in an unrealized gain or loss, respectively, of $133.6 million. At October 30, 2026, the fair value of the Company’s investment in MGM was $2.0 billion. The Company’s results of operations and financial condition have in the past been and may in the future be materially impacted by increases or decreases in the price of MGM common shares.</w:t>
      </w:r>
    </w:p>
    <w:p>
      <w:pPr>
        <w:spacing w:after="0" w:line="187"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2—Financial Instruments and Fair Value Measurements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Financial Statements</w:t>
      </w:r>
      <w:r>
        <w:rPr>
          <w:rFonts w:ascii="Times New Roman" w:cs="Times New Roman" w:eastAsia="Times New Roman" w:hAnsi="Times New Roman"/>
          <w:sz w:val="18"/>
          <w:szCs w:val="18"/>
          <w:color w:val="000000"/>
        </w:rPr>
        <w:t>” for additional information.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2026, the principal amount of the Company’s outstanding debt totals $1.42 billion. The $1.02 billion principal amount of the Term Loan A-1 due May 14, 2030 (“Term Loan A-1”) and the Term Loan B-2 due June 16, 2032 (“Term Loan B-2”) bear interest at variable rates based upon the secured overnight financing rate (“SOFR”).</w:t>
      </w:r>
    </w:p>
    <w:p>
      <w:pPr>
        <w:spacing w:after="0" w:line="17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People Inc. holds interest rate swaps to manage interest rate risk, which will mature on April 1, 2027. The interest rate swaps synthetically convert $350 million, the total notional amount, of the Term Loan B-2 from a variable rate to a fixed rate. People Inc. applies hedge accounting to these contracts. The fair value of the interest rate swaps is determined using discounted cash flows derived from observable market prices, including swap curves, and represents what People Inc. would pay or receive to terminate the swap agreements. People Inc. intends to continue to meet the conditions for hedge accounting, however, if these interest rate swaps were not highly effective in offsetting cash flows attributable to the hedged risk, the changes in the fair value of the interest rate swaps used as hedges could have a significant impact on future results of operations.</w:t>
      </w:r>
    </w:p>
    <w:p>
      <w:pPr>
        <w:spacing w:after="0" w:line="18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If SOFR were to increase or decrease by 100 basis points, the combined annual interest expense on the Term Loan A-1 and the Term Loan B-2, net of the impact related to the $350 million in notional amount of interest rate swaps, would increase or decrease by $8.5 million.</w:t>
      </w:r>
    </w:p>
    <w:p>
      <w:pPr>
        <w:spacing w:after="0" w:line="16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3—Long-term Debt</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ind w:firstLine="405"/>
        <w:spacing w:after="0" w:line="272" w:lineRule="auto"/>
        <w:rPr>
          <w:sz w:val="20"/>
          <w:szCs w:val="20"/>
          <w:color w:val="auto"/>
        </w:rPr>
      </w:pPr>
      <w:r>
        <w:rPr>
          <w:rFonts w:ascii="Times New Roman" w:cs="Times New Roman" w:eastAsia="Times New Roman" w:hAnsi="Times New Roman"/>
          <w:sz w:val="17"/>
          <w:szCs w:val="17"/>
          <w:color w:val="auto"/>
        </w:rPr>
        <w:t>As required by Rule 13a-15(b) under the Securities Exchange Act of 1934, as amended (the “Exchange Act”), management, including our Chairman and Senior Executive, Chief Executive Officer (“CEO”) and Chief Financial Officer (“CFO”), conducted an evaluation, as of the end of the period covered by this quarterly report, of the effectiveness of the Company’s disclosure controls and procedures as defined by Rule 13a-15(e) under the Exchange Act.</w:t>
      </w:r>
    </w:p>
    <w:p>
      <w:pPr>
        <w:spacing w:after="0" w:line="2"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Based on this evaluation, our Chairman and Senior Executive, CEO and CFO concluded that the Company’s disclosure controls and procedures were effective as of the end of the period covered by this quarterly report.</w:t>
      </w:r>
    </w:p>
    <w:p>
      <w:pPr>
        <w:spacing w:after="0" w:line="18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monitors and evaluates on an ongoing basis its internal control over financial reporting in order to improve its overall effectiveness. In the course of these evaluations, the Company modifies and refines its internal processes as conditions warrant.</w:t>
      </w:r>
    </w:p>
    <w:p>
      <w:pPr>
        <w:spacing w:after="0" w:line="162"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there have been no changes to our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People Incorporated and its subsidiaries are (or may become) parties to litigation involving property, personal injury, contract, intellectual property and other claims, as well as shareholder derivative actions, class action lawsuits and other matters. The amounts that may be recovered in such matters may be subject to insurance coverage.</w:t>
      </w:r>
    </w:p>
    <w:p>
      <w:pPr>
        <w:spacing w:after="0" w:line="17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Note 11—Contingencies</w:t>
      </w:r>
      <w:r>
        <w:rPr>
          <w:rFonts w:ascii="Times New Roman" w:cs="Times New Roman" w:eastAsia="Times New Roman" w:hAnsi="Times New Roman"/>
          <w:sz w:val="18"/>
          <w:szCs w:val="18"/>
          <w:color w:val="auto"/>
        </w:rPr>
        <w:t>” in the accompanying notes to the financial statements included in “</w:t>
      </w:r>
      <w:r>
        <w:rPr>
          <w:rFonts w:ascii="Times New Roman" w:cs="Times New Roman" w:eastAsia="Times New Roman" w:hAnsi="Times New Roman"/>
          <w:sz w:val="18"/>
          <w:szCs w:val="18"/>
          <w:u w:val="single" w:color="auto"/>
          <w:color w:val="0000FF"/>
        </w:rPr>
        <w:t>Item 1—Consolidated Financial Statements</w:t>
      </w:r>
      <w:r>
        <w:rPr>
          <w:rFonts w:ascii="Times New Roman" w:cs="Times New Roman" w:eastAsia="Times New Roman" w:hAnsi="Times New Roman"/>
          <w:sz w:val="18"/>
          <w:szCs w:val="18"/>
          <w:color w:val="auto"/>
        </w:rPr>
        <w:t>” for additional information related to a previous lawsuit related to the allocation of a gain recorded in 2015 related to a real estate transaction.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People Inc. Ad-Tech Antitrust Litigation against Google</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On August 29, 2025, the Company’s People Inc. subsidiary filed an action in the United States District Court for the Southern District of New York against Google LLC and Alphabet Inc. (collectively, “Google”), alleging violations of federal antitrust and state law arising out of anticompetitive practices by Google in the ad-tech industry in connection with the sale of ad inventory for display on People Inc.’s online properties. </w:t>
      </w:r>
      <w:r>
        <w:rPr>
          <w:rFonts w:ascii="Times New Roman" w:cs="Times New Roman" w:eastAsia="Times New Roman" w:hAnsi="Times New Roman"/>
          <w:sz w:val="18"/>
          <w:szCs w:val="18"/>
          <w:i w:val="1"/>
          <w:iCs w:val="1"/>
          <w:color w:val="auto"/>
        </w:rPr>
        <w:t>See Dotdash Meredith Inc. a/k/a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 Inc. et ano. v. Google LLC et ano., </w:t>
      </w:r>
      <w:r>
        <w:rPr>
          <w:rFonts w:ascii="Times New Roman" w:cs="Times New Roman" w:eastAsia="Times New Roman" w:hAnsi="Times New Roman"/>
          <w:sz w:val="18"/>
          <w:szCs w:val="18"/>
          <w:color w:val="auto"/>
        </w:rPr>
        <w:t>No. 1:25-cv-7194 (S.D.N.Y.). The lawsuit follows on the Government’s antitrust enforcement action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Google in the digital advertising technology space, in which a federal district judge has ruled that Google acquired, maintained, and misused monopoly power in the publisher ad-server and ad-exchange markets, and tied use of its publisher ad server to use of its ad exchange, in violation of the Sherman Act. </w:t>
      </w:r>
      <w:r>
        <w:rPr>
          <w:rFonts w:ascii="Times New Roman" w:cs="Times New Roman" w:eastAsia="Times New Roman" w:hAnsi="Times New Roman"/>
          <w:sz w:val="18"/>
          <w:szCs w:val="18"/>
          <w:i w:val="1"/>
          <w:iCs w:val="1"/>
          <w:color w:val="auto"/>
        </w:rPr>
        <w:t xml:space="preserve">See United States v. Google LLC, </w:t>
      </w:r>
      <w:r>
        <w:rPr>
          <w:rFonts w:ascii="Times New Roman" w:cs="Times New Roman" w:eastAsia="Times New Roman" w:hAnsi="Times New Roman"/>
          <w:sz w:val="18"/>
          <w:szCs w:val="18"/>
          <w:color w:val="auto"/>
        </w:rPr>
        <w:t>No. 1:23-cv-108 (E.D. Va.) (Apr. 17, 2025 Mem. Op.). People Inc.’s complaint asserts federal antitrust claims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monopolization and attempted monopolization of the publisher ad-server and ad-exchange markets and for unlawful tying in violation of the Sherman Act, as well as various state-law claims, and seeks among other things declaratory and injunctive relief and damages, including treble damages, in an amount to be determined at trial.</w:t>
      </w:r>
    </w:p>
    <w:p>
      <w:pPr>
        <w:spacing w:after="0" w:line="1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People Inc.’s lawsuit is part of a consolidated multidistrict litigation (“MDL”) comprised of similar lawsuits filed by other online publishers, all pending before the same judge in the Southern District of New York. </w:t>
      </w:r>
      <w:r>
        <w:rPr>
          <w:rFonts w:ascii="Times New Roman" w:cs="Times New Roman" w:eastAsia="Times New Roman" w:hAnsi="Times New Roman"/>
          <w:sz w:val="18"/>
          <w:szCs w:val="18"/>
          <w:i w:val="1"/>
          <w:iCs w:val="1"/>
          <w:color w:val="auto"/>
        </w:rPr>
        <w:t>See In re Google Digital Advertising Antitrust Litigation,</w:t>
      </w:r>
      <w:r>
        <w:rPr>
          <w:rFonts w:ascii="Times New Roman" w:cs="Times New Roman" w:eastAsia="Times New Roman" w:hAnsi="Times New Roman"/>
          <w:sz w:val="18"/>
          <w:szCs w:val="18"/>
          <w:color w:val="auto"/>
        </w:rPr>
        <w:t xml:space="preserve"> No. 1:21-md-3010 (S.D.N.Y.) (Castel, J.). On October 27, 2025, in a ruling in one of the earlier-filed publisher lawsuits in the MDL, the presiding judge held that Google is precluded from relitigating certain issues previously decided against it in the Government’s case, including (i) that publisher ad servers and ad exchanges are separate, distinct and worldwide markets for antitrust purposes, (ii) that Google engaged in five separate types of anticompetitive conduct in willfully acquiring and maintaining monopoly power in the publisher ad-server and ad-exchange markets and (iii) that Google unlawfully tied its publisher ad server to its ad exchange in violation of the Sherman Act.</w:t>
      </w:r>
    </w:p>
    <w:p>
      <w:pPr>
        <w:spacing w:after="0" w:line="18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November 24, 2025, Google filed a motion to dismiss the state-law claims (but not the federal antitrust claims) in People Inc.’s complaint. People Inc. opposed the motion, which remains pending. Fact discovery in the case is complete, and expert discovery is underway. People Inc. intends to vigorously pursue its claims in this action, but there is no guarantee that its efforts will be successful.</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88" w:lineRule="exact"/>
        <w:rPr>
          <w:sz w:val="20"/>
          <w:szCs w:val="20"/>
          <w:color w:val="auto"/>
        </w:rPr>
      </w:pPr>
    </w:p>
    <w:p>
      <w:pPr>
        <w:ind w:right="60" w:firstLine="405"/>
        <w:spacing w:after="0" w:line="228" w:lineRule="exact"/>
        <w:rPr>
          <w:sz w:val="20"/>
          <w:szCs w:val="20"/>
          <w:color w:val="auto"/>
        </w:rPr>
      </w:pPr>
      <w:r>
        <w:rPr>
          <w:rFonts w:ascii="Times New Roman" w:cs="Times New Roman" w:eastAsia="Times New Roman" w:hAnsi="Times New Roman"/>
          <w:sz w:val="18"/>
          <w:szCs w:val="18"/>
          <w:color w:val="auto"/>
        </w:rPr>
        <w:t>This quarterly report on Form 10-Q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the planned corporate consolidation, sales of any non-core assets, the future financial performance of the Company, business prospects and strategy, anticipated trends and prospects in the industries in which the Company operates and other similar matters.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and subscribers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Company’s ongoing corporate consolidation.</w:t>
      </w:r>
    </w:p>
    <w:p>
      <w:pPr>
        <w:spacing w:after="0" w:line="18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Certain of these and other risks and uncertainties are described in the Company’s filings with the SEC, including under the caption Part I—Item 1A— Risk Factors of our annual report on Form 10-K for the fiscal year ended December 31, 2025, filed with the Securities and Exchange Commission (the “SEC”) on February 20, 2026 (the “Annual Report”). Other unknown or unpredictable factors that could also adversely affect the Company's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quarterly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Except as described in the Company’s quarterly report on Form 10-Q for the fiscal quarter ended June 30, 2026 filed with the SEC on August 3, 2026 (the “Q2 Quarterly Report”), there have been no material changes to the risk factors disclosed in Part I—Item 1A—Risk Factors of our Annual Report. In addition to the other information set forth in this quarterly report, you should carefully consider the risk factors discussed under the caption Part I—Item 1A —Risk Factors of our Annual Report, as supplemented by those in the Q2 Quarterly Report, any or all of which could materially and adversely affect the Company’s business, financial condition or results of operations. Additional risks and uncertainties not currently known to us or that we currently deem to be immaterial also may materially and adversely affect the Company’s business, financial condition and/or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did not issue or sell any shares of its common stock or any other equity securities pursuant to unregistered transactions during the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did not purchase any shares of its common stock during the quarter ended September 30, 2026. As of that date, 12.5 million shares of the Company’s common stock remained available for repurchase under its authorization, including the additional 10 million shares that the board of directors of the Company authorized the Company to repurchase on June 16, 2026. Share repurchases can be made over an indefinite period of time in the open market and in privately negotiated transactions, depending on those factors management deems relevant at any particular time, including, without limitation, market conditions, price and future outlook.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40" w:firstLine="405"/>
        <w:spacing w:after="0" w:line="239" w:lineRule="exact"/>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or officers adopted or terminated a Rule 10b5-1 trading plan or non-Rule 10b5-1 trading arrangement (as such terms are defined in Item 408(a)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31" w:lineRule="exact"/>
        <w:rPr>
          <w:sz w:val="20"/>
          <w:szCs w:val="20"/>
          <w:color w:val="auto"/>
        </w:rPr>
      </w:pPr>
    </w:p>
    <w:p>
      <w:pPr>
        <w:ind w:right="500" w:firstLine="405"/>
        <w:spacing w:after="0" w:line="260"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incorporated by reference to the location indicated or furnished herewith.</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8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spacing w:after="0"/>
              <w:rPr>
                <w:sz w:val="17"/>
                <w:szCs w:val="17"/>
                <w:color w:val="auto"/>
              </w:rPr>
            </w:pPr>
          </w:p>
        </w:tc>
        <w:tc>
          <w:tcPr>
            <w:tcW w:w="3580" w:type="dxa"/>
            <w:vAlign w:val="bottom"/>
            <w:gridSpan w:val="12"/>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8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1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780" w:type="dxa"/>
            <w:vAlign w:val="bottom"/>
            <w:gridSpan w:val="2"/>
          </w:tcPr>
          <w:p>
            <w:pPr>
              <w:ind w:left="740"/>
              <w:spacing w:after="0" w:line="182" w:lineRule="exact"/>
              <w:rPr>
                <w:sz w:val="20"/>
                <w:szCs w:val="20"/>
                <w:color w:val="auto"/>
              </w:rPr>
            </w:pPr>
            <w:r>
              <w:rPr>
                <w:rFonts w:ascii="Times New Roman" w:cs="Times New Roman" w:eastAsia="Times New Roman" w:hAnsi="Times New Roman"/>
                <w:sz w:val="18"/>
                <w:szCs w:val="18"/>
                <w:color w:val="auto"/>
              </w:rPr>
              <w:t>3.1 Restated Certificate of Incorporation of IAC Inc.</w:t>
            </w:r>
          </w:p>
        </w:tc>
        <w:tc>
          <w:tcPr>
            <w:tcW w:w="3940" w:type="dxa"/>
            <w:vAlign w:val="bottom"/>
            <w:gridSpan w:val="13"/>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Exhibit 3.1 to the Registrant's Quarterly Report 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88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 10-Q for the fiscal quarter ended June 30, 2024.</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3.2 Restated Certificate of Incorporation of IAC/InterActiveCorp (effective as of</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Exhibit 3.1(c)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June 30, 2020).</w:t>
            </w:r>
          </w:p>
        </w:tc>
        <w:tc>
          <w:tcPr>
            <w:tcW w:w="37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8-K filed on July 2, 2020</w:t>
              </w:r>
              <w:r>
                <w:rPr>
                  <w:rFonts w:ascii="Times New Roman" w:cs="Times New Roman" w:eastAsia="Times New Roman" w:hAnsi="Times New Roman"/>
                  <w:sz w:val="18"/>
                  <w:szCs w:val="18"/>
                  <w:color w:val="000000"/>
                </w:rPr>
                <w:t>.</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3.3 Certificate of Amendment of Restated Certificate of Incorporation of</w:t>
            </w:r>
          </w:p>
        </w:tc>
        <w:tc>
          <w:tcPr>
            <w:tcW w:w="3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Exhibit 4.2 to Post-Effective Amendment No. 1 on</w:t>
              </w:r>
            </w:hyperlink>
          </w:p>
        </w:tc>
        <w:tc>
          <w:tcPr>
            <w:tcW w:w="2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IAC/InterActiveCorp (effective as of May 25, 2021).</w:t>
            </w:r>
          </w:p>
        </w:tc>
        <w:tc>
          <w:tcPr>
            <w:tcW w:w="3940" w:type="dxa"/>
            <w:vAlign w:val="bottom"/>
            <w:gridSpan w:val="1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S-8 to Registration Statement on Form S-4 (File</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No. 333-251656), filed by the Registrant on May 26,</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2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2021</w:t>
              </w:r>
              <w:r>
                <w:rPr>
                  <w:rFonts w:ascii="Times New Roman" w:cs="Times New Roman" w:eastAsia="Times New Roman" w:hAnsi="Times New Roman"/>
                  <w:sz w:val="18"/>
                  <w:szCs w:val="18"/>
                  <w:color w:val="000000"/>
                </w:rPr>
                <w:t>.</w:t>
              </w:r>
            </w:hyperlink>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3.4 Certificate of Amendment of Restated Certificate of Incorporation of</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IAC/InterActiveCorp (effective as of August 11, 2022).</w:t>
            </w:r>
          </w:p>
        </w:tc>
        <w:tc>
          <w:tcPr>
            <w:tcW w:w="34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8-K, filed on August 12,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4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3.5 Certificate of Amendment of Restated Certificate of Incorporation of IAC Inc.</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(effective as of June 12, 2024).</w:t>
            </w:r>
          </w:p>
        </w:tc>
        <w:tc>
          <w:tcPr>
            <w:tcW w:w="34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8-K, filed on June 13,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4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3.6 Certificate of Amendment of Restated Certificate of Incorporation of People</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3.1 to the Registrant’s Current Report on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Incorporated (formerly IAC Inc.)</w:t>
            </w:r>
          </w:p>
        </w:tc>
        <w:tc>
          <w:tcPr>
            <w:tcW w:w="24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8-K, filed on June 4, 2026.</w:t>
              </w:r>
            </w:hyperlink>
          </w:p>
        </w:tc>
        <w:tc>
          <w:tcPr>
            <w:tcW w:w="1100" w:type="dxa"/>
            <w:vAlign w:val="bottom"/>
            <w:tcBorders>
              <w:top w:val="single" w:sz="8" w:color="0000FF"/>
            </w:tcBorders>
            <w:gridSpan w:val="3"/>
          </w:tcPr>
          <w:p>
            <w:pPr>
              <w:spacing w:after="0"/>
              <w:rPr>
                <w:sz w:val="13"/>
                <w:szCs w:val="13"/>
                <w:color w:val="auto"/>
              </w:rPr>
            </w:pPr>
          </w:p>
        </w:tc>
        <w:tc>
          <w:tcPr>
            <w:tcW w:w="4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3.7 Certificate of Designations of Series A Cumulative Preferred Stock.</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Exhibit 3.2 to the Registrant’s Current Report on</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5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8-K filed on July 2, 2020</w:t>
              </w:r>
              <w:r>
                <w:rPr>
                  <w:rFonts w:ascii="Times New Roman" w:cs="Times New Roman" w:eastAsia="Times New Roman" w:hAnsi="Times New Roman"/>
                  <w:sz w:val="18"/>
                  <w:szCs w:val="18"/>
                  <w:color w:val="000000"/>
                </w:rPr>
                <w:t>.</w:t>
              </w:r>
            </w:hyperlink>
          </w:p>
        </w:tc>
        <w:tc>
          <w:tcPr>
            <w:tcW w:w="4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3.8 Amended and Restated By-Laws of People Incorporated (formerly IAC Inc.)</w:t>
            </w:r>
          </w:p>
        </w:tc>
        <w:tc>
          <w:tcPr>
            <w:tcW w:w="3940" w:type="dxa"/>
            <w:vAlign w:val="bottom"/>
            <w:gridSpan w:val="1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3.2 to the Registrant's Current Report on</w:t>
              </w:r>
            </w:hyperlink>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8-K, filed on June 4, 2026.</w:t>
              </w:r>
            </w:hyperlink>
          </w:p>
        </w:tc>
        <w:tc>
          <w:tcPr>
            <w:tcW w:w="1080" w:type="dxa"/>
            <w:vAlign w:val="bottom"/>
            <w:tcBorders>
              <w:top w:val="single" w:sz="8" w:color="0000FF"/>
            </w:tcBorders>
            <w:gridSpan w:val="2"/>
          </w:tcPr>
          <w:p>
            <w:pPr>
              <w:spacing w:after="0"/>
              <w:rPr>
                <w:sz w:val="13"/>
                <w:szCs w:val="13"/>
                <w:color w:val="auto"/>
              </w:rPr>
            </w:pPr>
          </w:p>
        </w:tc>
        <w:tc>
          <w:tcPr>
            <w:tcW w:w="4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140"/>
          </w:cols>
          <w:pgMar w:left="320" w:top="118" w:right="439" w:bottom="1440" w:gutter="0" w:footer="0" w:header="0"/>
        </w:sectPr>
      </w:pPr>
    </w:p>
    <w:p>
      <w:pPr>
        <w:ind w:left="1420" w:hanging="350"/>
        <w:spacing w:after="0" w:line="237" w:lineRule="auto"/>
        <w:rPr>
          <w:sz w:val="20"/>
          <w:szCs w:val="20"/>
          <w:color w:val="auto"/>
        </w:rPr>
      </w:pPr>
      <w:r>
        <w:rPr>
          <w:rFonts w:ascii="Times New Roman" w:cs="Times New Roman" w:eastAsia="Times New Roman" w:hAnsi="Times New Roman"/>
          <w:sz w:val="18"/>
          <w:szCs w:val="18"/>
          <w:color w:val="auto"/>
        </w:rPr>
        <w:t>10.1 Employment Agreement, between People Incorporated and Neil Vogel, effective as of August 5, 2026 (1)</w:t>
      </w:r>
    </w:p>
    <w:p>
      <w:pPr>
        <w:spacing w:after="0" w:line="20" w:lineRule="exact"/>
        <w:rPr>
          <w:sz w:val="20"/>
          <w:szCs w:val="20"/>
          <w:color w:val="auto"/>
        </w:rPr>
      </w:pPr>
      <w:r>
        <w:rPr>
          <w:sz w:val="20"/>
          <w:szCs w:val="20"/>
          <w:color w:val="auto"/>
        </w:rPr>
        <w:br w:type="column"/>
      </w:r>
    </w:p>
    <w:p>
      <w:pPr>
        <w:ind w:right="340"/>
        <w:spacing w:after="0" w:line="237"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Exhibit 10.1 to the Registrant’s Current Report on</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Form 8-K filed on August 3, 2026.</w:t>
        </w:r>
      </w:hyperlink>
    </w:p>
    <w:p>
      <w:pPr>
        <w:spacing w:after="0" w:line="200" w:lineRule="exact"/>
        <w:rPr>
          <w:sz w:val="20"/>
          <w:szCs w:val="20"/>
          <w:color w:val="auto"/>
        </w:rPr>
      </w:pPr>
    </w:p>
    <w:p>
      <w:pPr>
        <w:sectPr>
          <w:pgSz w:w="11900" w:h="16838" w:orient="portrait"/>
          <w:cols w:equalWidth="0" w:num="2">
            <w:col w:w="6540" w:space="660"/>
            <w:col w:w="3940"/>
          </w:cols>
          <w:pgMar w:left="320" w:top="118" w:right="4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96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4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2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0" w:type="dxa"/>
            <w:vAlign w:val="bottom"/>
          </w:tcPr>
          <w:p>
            <w:pPr>
              <w:spacing w:after="0"/>
              <w:rPr>
                <w:sz w:val="1"/>
                <w:szCs w:val="1"/>
                <w:color w:val="auto"/>
              </w:rPr>
            </w:pPr>
          </w:p>
        </w:tc>
      </w:tr>
      <w:tr>
        <w:trPr>
          <w:trHeight w:val="243"/>
        </w:trPr>
        <w:tc>
          <w:tcPr>
            <w:tcW w:w="196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24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0</wp:posOffset>
            </wp:positionV>
            <wp:extent cx="6806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sectPr>
      </w:pPr>
    </w:p>
    <w:p>
      <w:pPr>
        <w:spacing w:after="0" w:line="9" w:lineRule="exact"/>
        <w:rPr>
          <w:sz w:val="20"/>
          <w:szCs w:val="20"/>
          <w:color w:val="auto"/>
        </w:rPr>
      </w:pPr>
    </w:p>
    <w:p>
      <w:pPr>
        <w:ind w:left="1420" w:right="240" w:hanging="350"/>
        <w:spacing w:after="0" w:line="237" w:lineRule="auto"/>
        <w:rPr>
          <w:sz w:val="20"/>
          <w:szCs w:val="20"/>
          <w:color w:val="auto"/>
        </w:rPr>
      </w:pPr>
      <w:r>
        <w:rPr>
          <w:rFonts w:ascii="Times New Roman" w:cs="Times New Roman" w:eastAsia="Times New Roman" w:hAnsi="Times New Roman"/>
          <w:sz w:val="18"/>
          <w:szCs w:val="18"/>
          <w:color w:val="auto"/>
        </w:rPr>
        <w:t>10.2 Employment Agreement, between People Incorporated and Timothy Quinn, effective as of August 5, 2026 (1)</w:t>
      </w:r>
    </w:p>
    <w:p>
      <w:pPr>
        <w:spacing w:after="0" w:line="10" w:lineRule="exact"/>
        <w:rPr>
          <w:sz w:val="20"/>
          <w:szCs w:val="20"/>
          <w:color w:val="auto"/>
        </w:rPr>
      </w:pPr>
    </w:p>
    <w:p>
      <w:pPr>
        <w:ind w:left="1420" w:right="400" w:hanging="350"/>
        <w:spacing w:after="0" w:line="256" w:lineRule="auto"/>
        <w:rPr>
          <w:sz w:val="20"/>
          <w:szCs w:val="20"/>
          <w:color w:val="auto"/>
        </w:rPr>
      </w:pPr>
      <w:r>
        <w:rPr>
          <w:rFonts w:ascii="Times New Roman" w:cs="Times New Roman" w:eastAsia="Times New Roman" w:hAnsi="Times New Roman"/>
          <w:sz w:val="17"/>
          <w:szCs w:val="17"/>
          <w:color w:val="auto"/>
        </w:rPr>
        <w:t>10.3 Amendment No. 1 to Voting Agreement, dated October 27, 2026, by and among People Incorporated, MGM Resorts International and Barry Diller</w:t>
      </w:r>
    </w:p>
    <w:p>
      <w:pPr>
        <w:spacing w:after="0" w:line="1" w:lineRule="exact"/>
        <w:rPr>
          <w:sz w:val="20"/>
          <w:szCs w:val="20"/>
          <w:color w:val="auto"/>
        </w:rPr>
      </w:pPr>
    </w:p>
    <w:p>
      <w:pPr>
        <w:jc w:val="right"/>
        <w:ind w:left="1060" w:right="20"/>
        <w:spacing w:after="0" w:line="236" w:lineRule="auto"/>
        <w:rPr>
          <w:sz w:val="20"/>
          <w:szCs w:val="20"/>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of the Chairman and Senior Executive pursuant to Rule 13a-14(a)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Rule 15d-14(a) of the Securities Exchange Act of 1934 as adopted pursuant</w:t>
      </w:r>
    </w:p>
    <w:p>
      <w:pPr>
        <w:ind w:left="1420"/>
        <w:spacing w:after="0"/>
        <w:rPr>
          <w:sz w:val="20"/>
          <w:szCs w:val="20"/>
          <w:color w:val="auto"/>
        </w:rPr>
      </w:pPr>
      <w:r>
        <w:rPr>
          <w:rFonts w:ascii="Times New Roman" w:cs="Times New Roman" w:eastAsia="Times New Roman" w:hAnsi="Times New Roman"/>
          <w:sz w:val="18"/>
          <w:szCs w:val="18"/>
          <w:color w:val="auto"/>
        </w:rPr>
        <w:t>to Section 302 of the Sarbanes-Oxley Act.(2)</w:t>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of the Chief Executive Officer pursuant to Rule 13a-14(a) or Rule</w:t>
      </w:r>
    </w:p>
    <w:p>
      <w:pPr>
        <w:ind w:left="1420"/>
        <w:spacing w:after="0" w:line="219" w:lineRule="auto"/>
        <w:rPr>
          <w:sz w:val="20"/>
          <w:szCs w:val="20"/>
          <w:color w:val="auto"/>
        </w:rPr>
      </w:pPr>
      <w:r>
        <w:rPr>
          <w:rFonts w:ascii="Times New Roman" w:cs="Times New Roman" w:eastAsia="Times New Roman" w:hAnsi="Times New Roman"/>
          <w:sz w:val="18"/>
          <w:szCs w:val="18"/>
          <w:color w:val="auto"/>
        </w:rPr>
        <w:t>15d-14(a) of the Securities Exchange Act of 1934 as adopted pursuant to</w:t>
      </w:r>
    </w:p>
    <w:p>
      <w:pPr>
        <w:ind w:left="1420"/>
        <w:spacing w:after="0"/>
        <w:rPr>
          <w:sz w:val="20"/>
          <w:szCs w:val="20"/>
          <w:color w:val="auto"/>
        </w:rPr>
      </w:pPr>
      <w:r>
        <w:rPr>
          <w:rFonts w:ascii="Times New Roman" w:cs="Times New Roman" w:eastAsia="Times New Roman" w:hAnsi="Times New Roman"/>
          <w:sz w:val="18"/>
          <w:szCs w:val="18"/>
          <w:color w:val="auto"/>
        </w:rPr>
        <w:t>Section 302 of the Sarbanes-Oxley Act.(2)</w:t>
      </w:r>
    </w:p>
    <w:p>
      <w:pPr>
        <w:spacing w:after="0" w:line="7" w:lineRule="exact"/>
        <w:rPr>
          <w:sz w:val="20"/>
          <w:szCs w:val="20"/>
          <w:color w:val="auto"/>
        </w:rPr>
      </w:pPr>
    </w:p>
    <w:p>
      <w:pPr>
        <w:ind w:left="1420" w:right="80" w:hanging="350"/>
        <w:spacing w:after="0" w:line="233" w:lineRule="auto"/>
        <w:rPr>
          <w:sz w:val="20"/>
          <w:szCs w:val="20"/>
          <w:color w:val="auto"/>
        </w:rPr>
      </w:pPr>
      <w:r>
        <w:rPr>
          <w:rFonts w:ascii="Times New Roman" w:cs="Times New Roman" w:eastAsia="Times New Roman" w:hAnsi="Times New Roman"/>
          <w:sz w:val="17"/>
          <w:szCs w:val="17"/>
          <w:u w:val="single" w:color="auto"/>
          <w:color w:val="0000FF"/>
        </w:rPr>
        <w:t>31.3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of the Chief Financial Officer pursuant to Rule 13a-14(a) 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Rule 15d-14(a) of the Securities Exchange Act of 1934 as adopted pursuant to</w:t>
      </w:r>
    </w:p>
    <w:p>
      <w:pPr>
        <w:ind w:left="1420"/>
        <w:spacing w:after="0"/>
        <w:rPr>
          <w:sz w:val="20"/>
          <w:szCs w:val="20"/>
          <w:color w:val="auto"/>
        </w:rPr>
      </w:pPr>
      <w:r>
        <w:rPr>
          <w:rFonts w:ascii="Times New Roman" w:cs="Times New Roman" w:eastAsia="Times New Roman" w:hAnsi="Times New Roman"/>
          <w:sz w:val="18"/>
          <w:szCs w:val="18"/>
          <w:color w:val="auto"/>
        </w:rPr>
        <w:t>Section 302 of the Sarbanes-Oxley Act.(2)</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Exhibit 10.2 to the Registrant’s Current Report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8-K filed on August 3, 2026.</w:t>
        </w:r>
      </w:hyperlink>
    </w:p>
    <w:p>
      <w:pPr>
        <w:spacing w:after="0" w:line="10"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Exhibit 99.1 to the Registrant’s Current Report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Form 8-K filed on October 28, 2026.</w:t>
        </w:r>
      </w:hyperlink>
    </w:p>
    <w:p>
      <w:pPr>
        <w:spacing w:after="0" w:line="1796" w:lineRule="exact"/>
        <w:rPr>
          <w:sz w:val="20"/>
          <w:szCs w:val="20"/>
          <w:color w:val="auto"/>
        </w:rPr>
      </w:pPr>
    </w:p>
    <w:p>
      <w:pPr>
        <w:sectPr>
          <w:pgSz w:w="11900" w:h="16838" w:orient="portrait"/>
          <w:cols w:equalWidth="0" w:num="2">
            <w:col w:w="7120" w:space="80"/>
            <w:col w:w="3600"/>
          </w:cols>
          <w:pgMar w:left="320" w:top="118" w:right="779" w:bottom="1440" w:gutter="0" w:footer="0" w:header="0"/>
          <w:type w:val="continuous"/>
        </w:sectPr>
      </w:pPr>
    </w:p>
    <w:p>
      <w:pPr>
        <w:ind w:left="1420" w:right="3660" w:hanging="350"/>
        <w:spacing w:after="0" w:line="234" w:lineRule="auto"/>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Chairman and Senior Executive pursuant to 18 U.S.C.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1350 as adopted pursuant to Section 906 of the Sarbanes-Oxley Act.(3)</w:t>
      </w:r>
    </w:p>
    <w:p>
      <w:pPr>
        <w:spacing w:after="0" w:line="10" w:lineRule="exact"/>
        <w:rPr>
          <w:sz w:val="20"/>
          <w:szCs w:val="20"/>
          <w:color w:val="auto"/>
        </w:rPr>
      </w:pPr>
    </w:p>
    <w:p>
      <w:pPr>
        <w:ind w:left="1420" w:right="3660" w:hanging="350"/>
        <w:spacing w:after="0" w:line="237" w:lineRule="auto"/>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Chief Executive Officer pursuant to 18 U.S.C. Section 1350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adopted pursuant to Section 906 of the Sarbanes-Oxley Act.(3)</w:t>
      </w:r>
    </w:p>
    <w:p>
      <w:pPr>
        <w:spacing w:after="0" w:line="10" w:lineRule="exact"/>
        <w:rPr>
          <w:sz w:val="20"/>
          <w:szCs w:val="20"/>
          <w:color w:val="auto"/>
        </w:rPr>
      </w:pPr>
    </w:p>
    <w:p>
      <w:pPr>
        <w:ind w:left="1420" w:right="3700" w:hanging="350"/>
        <w:spacing w:after="0" w:line="237" w:lineRule="auto"/>
        <w:rPr>
          <w:sz w:val="20"/>
          <w:szCs w:val="20"/>
          <w:color w:val="auto"/>
        </w:rPr>
      </w:pPr>
      <w:r>
        <w:rPr>
          <w:rFonts w:ascii="Times New Roman" w:cs="Times New Roman" w:eastAsia="Times New Roman" w:hAnsi="Times New Roman"/>
          <w:sz w:val="18"/>
          <w:szCs w:val="18"/>
          <w:u w:val="single" w:color="auto"/>
          <w:color w:val="0000FF"/>
        </w:rPr>
        <w:t>32.3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Certification of the Chief Financial Officer pursuant to 18 U.S.C. Section 1350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adopted pursuant to Section 906 of the Sarbanes-Oxley Act.(3)</w:t>
      </w:r>
    </w:p>
    <w:tbl>
      <w:tblPr>
        <w:tblLayout w:type="fixed"/>
        <w:tblInd w:w="700" w:type="dxa"/>
        <w:tblCellMar>
          <w:top w:w="0" w:type="dxa"/>
          <w:left w:w="0" w:type="dxa"/>
          <w:bottom w:w="0" w:type="dxa"/>
          <w:right w:w="0" w:type="dxa"/>
        </w:tblCellMar>
      </w:tblPr>
      <w:tr>
        <w:trPr>
          <w:trHeight w:val="190"/>
        </w:trPr>
        <w:tc>
          <w:tcPr>
            <w:tcW w:w="6400" w:type="dxa"/>
            <w:vAlign w:val="bottom"/>
          </w:tcPr>
          <w:p>
            <w:pPr>
              <w:ind w:left="80"/>
              <w:spacing w:after="0" w:line="190" w:lineRule="exact"/>
              <w:rPr>
                <w:sz w:val="20"/>
                <w:szCs w:val="20"/>
                <w:color w:val="auto"/>
              </w:rPr>
            </w:pPr>
            <w:r>
              <w:rPr>
                <w:rFonts w:ascii="Times New Roman" w:cs="Times New Roman" w:eastAsia="Times New Roman" w:hAnsi="Times New Roman"/>
                <w:sz w:val="18"/>
                <w:szCs w:val="18"/>
                <w:color w:val="auto"/>
              </w:rPr>
              <w:t>101.INS Inline XBRL Instance.(2)</w:t>
            </w:r>
          </w:p>
        </w:tc>
        <w:tc>
          <w:tcPr>
            <w:tcW w:w="3440" w:type="dxa"/>
            <w:vAlign w:val="bottom"/>
          </w:tcPr>
          <w:p>
            <w:pPr>
              <w:ind w:left="100"/>
              <w:spacing w:after="0" w:line="190" w:lineRule="exact"/>
              <w:rPr>
                <w:sz w:val="20"/>
                <w:szCs w:val="20"/>
                <w:color w:val="auto"/>
              </w:rPr>
            </w:pPr>
            <w:r>
              <w:rPr>
                <w:rFonts w:ascii="Times New Roman" w:cs="Times New Roman" w:eastAsia="Times New Roman" w:hAnsi="Times New Roman"/>
                <w:sz w:val="18"/>
                <w:szCs w:val="18"/>
                <w:color w:val="auto"/>
              </w:rPr>
              <w:t>The instance document does not appear in the</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34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w w:val="99"/>
              </w:rPr>
              <w:t>interactive data file because its XBRL tags are</w:t>
            </w:r>
          </w:p>
        </w:tc>
        <w:tc>
          <w:tcPr>
            <w:tcW w:w="0" w:type="dxa"/>
            <w:vAlign w:val="bottom"/>
          </w:tcPr>
          <w:p>
            <w:pPr>
              <w:spacing w:after="0"/>
              <w:rPr>
                <w:sz w:val="1"/>
                <w:szCs w:val="1"/>
                <w:color w:val="auto"/>
              </w:rPr>
            </w:pPr>
          </w:p>
        </w:tc>
      </w:tr>
      <w:tr>
        <w:trPr>
          <w:trHeight w:val="23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101.SCH Inline XBRL Taxonomy Extension Schema.(2)</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25"/>
        </w:trPr>
        <w:tc>
          <w:tcPr>
            <w:tcW w:w="640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 Inline XBRL Taxonomy Extension Definition.(2)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Labels.(2)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 Inline XBRL Taxonomy Extension Presentation.(2)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Exhibit 101).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7"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management contracts and management and director compensation plans</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November 2, 2026</w:t>
      </w:r>
    </w:p>
    <w:p>
      <w:pPr>
        <w:spacing w:after="0" w:line="27"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 INCORPORATED</w:t>
            </w:r>
          </w:p>
        </w:tc>
        <w:tc>
          <w:tcPr>
            <w:tcW w:w="3740" w:type="dxa"/>
            <w:vAlign w:val="bottom"/>
          </w:tcPr>
          <w:p>
            <w:pPr>
              <w:spacing w:after="0"/>
              <w:rPr>
                <w:sz w:val="20"/>
                <w:szCs w:val="20"/>
                <w:color w:val="auto"/>
              </w:rPr>
            </w:pPr>
          </w:p>
        </w:tc>
      </w:tr>
      <w:tr>
        <w:trPr>
          <w:trHeight w:val="49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/s/ TIMOTHY QUINN</w:t>
            </w:r>
          </w:p>
        </w:tc>
      </w:tr>
      <w:tr>
        <w:trPr>
          <w:trHeight w:val="216"/>
        </w:trPr>
        <w:tc>
          <w:tcPr>
            <w:tcW w:w="10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rPr>
              <w:t>Timothy Quinn</w:t>
            </w:r>
          </w:p>
        </w:tc>
      </w:tr>
      <w:tr>
        <w:trPr>
          <w:trHeight w:val="236"/>
        </w:trPr>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40" w:type="dxa"/>
            <w:vAlign w:val="bottom"/>
          </w:tcPr>
          <w:p>
            <w:pPr>
              <w:jc w:val="center"/>
              <w:ind w:right="1290"/>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04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80" w:type="dxa"/>
            <w:vAlign w:val="bottom"/>
          </w:tcPr>
          <w:p>
            <w:pPr>
              <w:spacing w:after="0"/>
              <w:rPr>
                <w:sz w:val="13"/>
                <w:szCs w:val="13"/>
                <w:color w:val="auto"/>
              </w:rPr>
            </w:pPr>
          </w:p>
        </w:tc>
        <w:tc>
          <w:tcPr>
            <w:tcW w:w="2600" w:type="dxa"/>
            <w:vAlign w:val="bottom"/>
            <w:gridSpan w:val="2"/>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60" w:type="dxa"/>
            <w:vAlign w:val="bottom"/>
          </w:tcPr>
          <w:p>
            <w:pPr>
              <w:spacing w:after="0"/>
              <w:rPr>
                <w:sz w:val="13"/>
                <w:szCs w:val="13"/>
                <w:color w:val="auto"/>
              </w:rPr>
            </w:pPr>
          </w:p>
        </w:tc>
        <w:tc>
          <w:tcPr>
            <w:tcW w:w="8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3"/>
        </w:trPr>
        <w:tc>
          <w:tcPr>
            <w:tcW w:w="3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QUINN</w:t>
            </w:r>
          </w:p>
        </w:tc>
        <w:tc>
          <w:tcPr>
            <w:tcW w:w="43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98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November 2, 2026</w:t>
            </w:r>
          </w:p>
        </w:tc>
      </w:tr>
      <w:tr>
        <w:trPr>
          <w:trHeight w:val="228"/>
        </w:trPr>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Timothy Quinn</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8"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People Incorporated;</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Barry Diller</w:t>
      </w:r>
    </w:p>
    <w:p>
      <w:pPr>
        <w:ind w:left="618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p>
      <w:pPr>
        <w:sectPr>
          <w:pgSz w:w="11900" w:h="16838" w:orient="portrait"/>
          <w:cols w:equalWidth="0" w:num="1">
            <w:col w:w="11240"/>
          </w:cols>
          <w:pgMar w:left="320" w:top="99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Neil Vogel,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People Incorporated;</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7"/>
          <w:szCs w:val="17"/>
          <w:color w:val="auto"/>
        </w:rPr>
        <w:t>/s/ NEIL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Neil Vogel</w:t>
      </w:r>
    </w:p>
    <w:p>
      <w:pPr>
        <w:ind w:left="6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9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Timothy Quinn,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People Incorporated;</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7"/>
          <w:szCs w:val="17"/>
          <w:color w:val="auto"/>
        </w:rPr>
        <w:t>/s/ TIMOTHY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Timothy Quinn</w:t>
      </w:r>
    </w:p>
    <w:p>
      <w:pP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99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Barry Diller, certify, pursuant to Section 906 of the Sarbanes-Oxley Act of 2002, 18 U.S.C. Section 1350, that, to my knowledge:</w:t>
      </w:r>
    </w:p>
    <w:p>
      <w:pPr>
        <w:spacing w:after="0" w:line="158" w:lineRule="exact"/>
        <w:rPr>
          <w:sz w:val="20"/>
          <w:szCs w:val="20"/>
          <w:color w:val="auto"/>
        </w:rPr>
      </w:pPr>
    </w:p>
    <w:p>
      <w:pPr>
        <w:ind w:left="660" w:right="240" w:hanging="652"/>
        <w:spacing w:after="0" w:line="266"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2026 of People Incorporated (the "Report") which this statement accompanies fully complies with the requirements of Section 13(a) or 15(d) of the Securities Exchange Act of 1934 (15 U.S.C. 78m or 78o(d));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People Incorporated.</w:t>
      </w:r>
    </w:p>
    <w:p>
      <w:pPr>
        <w:spacing w:after="0" w:line="310"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Barry Diller</w:t>
      </w:r>
    </w:p>
    <w:p>
      <w:pPr>
        <w:spacing w:after="0" w:line="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Chairman and Senior Executive</w:t>
      </w:r>
    </w:p>
    <w:p>
      <w:pPr>
        <w:sectPr>
          <w:pgSz w:w="11900" w:h="16838" w:orient="portrait"/>
          <w:cols w:equalWidth="0" w:num="1">
            <w:col w:w="11240"/>
          </w:cols>
          <w:pgMar w:left="320" w:top="103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Neil Vogel, certify, pursuant to Section 906 of the Sarbanes-Oxley Act of 2002, 18 U.S.C. Section 1350, that, to my knowledge:</w:t>
      </w:r>
    </w:p>
    <w:p>
      <w:pPr>
        <w:spacing w:after="0" w:line="158" w:lineRule="exact"/>
        <w:rPr>
          <w:sz w:val="20"/>
          <w:szCs w:val="20"/>
          <w:color w:val="auto"/>
        </w:rPr>
      </w:pPr>
    </w:p>
    <w:p>
      <w:pPr>
        <w:ind w:left="660" w:right="240" w:hanging="652"/>
        <w:spacing w:after="0" w:line="266"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2026 of People Incorporated (the "Report") which this statement accompanies fully complies with the requirements of Section 13(a) or 15(d) of the Securities Exchange Act of 1934 (15 U.S.C. 78m or 78o(d));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People Incorporated.</w:t>
      </w:r>
    </w:p>
    <w:p>
      <w:pPr>
        <w:spacing w:after="0" w:line="310"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7"/>
          <w:szCs w:val="17"/>
          <w:color w:val="auto"/>
        </w:rPr>
        <w:t>/s/ NEIL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Neil Vogel</w:t>
      </w:r>
    </w:p>
    <w:p>
      <w:pPr>
        <w:spacing w:after="0" w:line="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03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Timothy Quinn, certify, pursuant to Section 906 of the Sarbanes-Oxley Act of 2002, 18 U.S.C. Section 1350, that, to my knowledge:</w:t>
      </w:r>
    </w:p>
    <w:p>
      <w:pPr>
        <w:spacing w:after="0" w:line="158" w:lineRule="exact"/>
        <w:rPr>
          <w:sz w:val="20"/>
          <w:szCs w:val="20"/>
          <w:color w:val="auto"/>
        </w:rPr>
      </w:pPr>
    </w:p>
    <w:p>
      <w:pPr>
        <w:ind w:left="660" w:right="240" w:hanging="652"/>
        <w:spacing w:after="0" w:line="266"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2026 of People Incorporated (the "Report") which this statement accompanies fully complies with the requirements of Section 13(a) or 15(d) of the Securities Exchange Act of 1934 (15 U.S.C. 78m or 78o(d));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People Incorporated.</w:t>
      </w:r>
    </w:p>
    <w:p>
      <w:pPr>
        <w:spacing w:after="0" w:line="310" w:lineRule="exact"/>
        <w:rPr>
          <w:sz w:val="20"/>
          <w:szCs w:val="20"/>
          <w:color w:val="auto"/>
        </w:rPr>
      </w:pPr>
    </w:p>
    <w:p>
      <w:pPr>
        <w:ind w:left="20"/>
        <w:spacing w:after="0"/>
        <w:tabs>
          <w:tab w:leader="none" w:pos="780" w:val="left"/>
          <w:tab w:leader="none" w:pos="6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 2026</w:t>
      </w:r>
      <w:r>
        <w:rPr>
          <w:sz w:val="20"/>
          <w:szCs w:val="20"/>
          <w:color w:val="auto"/>
        </w:rPr>
        <w:tab/>
      </w:r>
      <w:r>
        <w:rPr>
          <w:rFonts w:ascii="Times New Roman" w:cs="Times New Roman" w:eastAsia="Times New Roman" w:hAnsi="Times New Roman"/>
          <w:sz w:val="18"/>
          <w:szCs w:val="18"/>
          <w:color w:val="auto"/>
        </w:rPr>
        <w:t>/s/ TIMOTHY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Timothy Quinn</w:t>
      </w:r>
    </w:p>
    <w:p>
      <w:pPr>
        <w:spacing w:after="0" w:line="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Letter"/>
      <w:start w:val="1"/>
    </w:lvl>
  </w:abstractNum>
  <w:abstractNum w:abstractNumId="1">
    <w:nsid w:val="333AB105"/>
    <w:multiLevelType w:val="hybridMultilevel"/>
    <w:lvl w:ilvl="0">
      <w:lvlJc w:val="left"/>
      <w:lvlText w:val="(%1)"/>
      <w:numFmt w:val="lowerRoman"/>
      <w:start w:val="3"/>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Roman"/>
      <w:start w:val="2"/>
    </w:lvl>
  </w:abstractNum>
  <w:abstractNum w:abstractNumId="6">
    <w:nsid w:val="75A2A8D4"/>
    <w:multiLevelType w:val="hybridMultilevel"/>
    <w:lvl w:ilvl="0">
      <w:lvlJc w:val="left"/>
      <w:lvlText w:val="(%1)"/>
      <w:numFmt w:val="lowerLetter"/>
      <w:start w:val="3"/>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2"/>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2"/>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
      <w:numFmt w:val="bullet"/>
      <w:start w:val="1"/>
    </w:lvl>
    <w:lvl w:ilvl="1">
      <w:lvlJc w:val="left"/>
      <w:lvlText w:val="•"/>
      <w:numFmt w:val="bullet"/>
      <w:start w:val="1"/>
    </w:lvl>
  </w:abstractNum>
  <w:abstractNum w:abstractNumId="15">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lvl w:ilvl="1">
      <w:lvlJc w:val="left"/>
      <w:lvlText w:val="◦"/>
      <w:numFmt w:val="bullet"/>
      <w:start w:val="1"/>
    </w:lvl>
  </w:abstractNum>
  <w:abstractNum w:abstractNumId="21">
    <w:nsid w:val="737B8DDC"/>
    <w:multiLevelType w:val="hybridMultilevel"/>
    <w:lvl w:ilvl="0">
      <w:lvlJc w:val="left"/>
      <w:lvlText w:val="•"/>
      <w:numFmt w:val="bullet"/>
      <w:start w:val="1"/>
    </w:lvl>
    <w:lvl w:ilvl="1">
      <w:lvlJc w:val="left"/>
      <w:lvlText w:val="◦"/>
      <w:numFmt w:val="bullet"/>
      <w:start w:val="1"/>
    </w:lvl>
  </w:abstractNum>
  <w:abstractNum w:abstractNumId="22">
    <w:nsid w:val="6CEAF087"/>
    <w:multiLevelType w:val="hybridMultilevel"/>
    <w:lvl w:ilvl="0">
      <w:lvlJc w:val="left"/>
      <w:lvlText w:val="•"/>
      <w:numFmt w:val="bullet"/>
      <w:start w:val="1"/>
    </w:lvl>
    <w:lvl w:ilvl="1">
      <w:lvlJc w:val="left"/>
      <w:lvlText w:val="◦"/>
      <w:numFmt w:val="bullet"/>
      <w:start w:val="1"/>
    </w:lvl>
  </w:abstractNum>
  <w:abstractNum w:abstractNumId="23">
    <w:nsid w:val="22221A70"/>
    <w:multiLevelType w:val="hybridMultilevel"/>
    <w:lvl w:ilvl="0">
      <w:lvlJc w:val="left"/>
      <w:lvlText w:val="•"/>
      <w:numFmt w:val="bullet"/>
      <w:start w:val="1"/>
    </w:lvl>
    <w:lvl w:ilvl="1">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lvl w:ilvl="1">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32" Type="http://schemas.openxmlformats.org/officeDocument/2006/relationships/hyperlink" Target="https://www.sec.gov/Archives/edgar/data/1800227/000180022724000039/iac-ex31_2024630.htm" TargetMode="External"/><Relationship Id="rId133" Type="http://schemas.openxmlformats.org/officeDocument/2006/relationships/hyperlink" Target="https://www.sec.gov/Archives/edgar/data/1800227/000110465920080610/tm2022502d7_ex3-1c.htm" TargetMode="External"/><Relationship Id="rId134" Type="http://schemas.openxmlformats.org/officeDocument/2006/relationships/hyperlink" Target="https://www.sec.gov/Archives/edgar/data/1800227/000110465921072522/tm2116546d4_ex4-2.htm" TargetMode="External"/><Relationship Id="rId135" Type="http://schemas.openxmlformats.org/officeDocument/2006/relationships/hyperlink" Target="https://www.sec.gov/Archives/edgar/data/1800227/000110465922090069/tm2223192d1_ex3-1.htm" TargetMode="External"/><Relationship Id="rId136" Type="http://schemas.openxmlformats.org/officeDocument/2006/relationships/hyperlink" Target="https://www.sec.gov/Archives/edgar/data/1800227/000110465924071290/tm2417101d2_ex3-1.htm" TargetMode="External"/><Relationship Id="rId137" Type="http://schemas.openxmlformats.org/officeDocument/2006/relationships/hyperlink" Target="https://www.sec.gov/Archives/edgar/data/1800227/000110465926070364/tm2616766d1_ex3-1.htm" TargetMode="External"/><Relationship Id="rId138" Type="http://schemas.openxmlformats.org/officeDocument/2006/relationships/hyperlink" Target="https://www.sec.gov/Archives/edgar/data/1800227/000110465920080610/tm2022502d7_ex3-2.htm" TargetMode="External"/><Relationship Id="rId139" Type="http://schemas.openxmlformats.org/officeDocument/2006/relationships/hyperlink" Target="https://www.sec.gov/Archives/edgar/data/1800227/000110465926070364/tm2616766d1_ex3-2.htm" TargetMode="External"/><Relationship Id="rId140" Type="http://schemas.openxmlformats.org/officeDocument/2006/relationships/hyperlink" Target="https://www.sec.gov/Archives/edgar/data/1800227/000162828026051836/ex_101vogelemploymentagree.htm" TargetMode="External"/><Relationship Id="rId143" Type="http://schemas.openxmlformats.org/officeDocument/2006/relationships/hyperlink" Target="https://www.sec.gov/Archives/edgar/data/1800227/000162828026051836/ex_102quinnemploymentagree.htm" TargetMode="External"/><Relationship Id="rId144" Type="http://schemas.openxmlformats.org/officeDocument/2006/relationships/hyperlink" Target="https://www.sec.gov/Archives/edgar/data/1800227/000110465926119410/tm262837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2026-11-02T15:25:56Z</dcterms:created>
  <dcterms:modified xsi:type="dcterms:W3CDTF">2026-11-02T15:25:56Z</dcterms:modified>
</cp:coreProperties>
</file>