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MGM RESORTS INTERNATIONAL</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Jennifer D. Bishop</w:t>
              <w:br/>
              <w:t>People Incorporated, 555 West 18th Street</w:t>
              <w:br/>
              <w:t>New York, NY, 10011</w:t>
              <w:br/>
              <w:t>(212) 551-7105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1</w:t>
            </w:r>
          </w:p>
        </w:tc>
        <w:tc>
          <w:tcPr>
            <w:tcW w:w="784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PEOPLE INCORPORATED</w:t>
            </w:r>
          </w:p>
        </w:tc>
      </w:tr>
      <w:tr>
        <w:trPr/>
        <w:tc>
          <w:tcPr>
            <w:tcW w:w="2365" w:type="dxa"/>
            <w:tcBorders/>
            <w:vAlign w:val="center"/>
          </w:tcPr>
          <w:p>
            <w:pPr>
              <w:pStyle w:val="TableContents"/>
              <w:bidi w:val="0"/>
              <w:spacing w:before="0" w:after="283"/>
              <w:jc w:val="left"/>
              <w:rPr/>
            </w:pPr>
            <w:r>
              <w:rPr/>
              <w:t>2</w:t>
            </w:r>
          </w:p>
        </w:tc>
        <w:tc>
          <w:tcPr>
            <w:tcW w:w="78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65" w:type="dxa"/>
            <w:tcBorders/>
            <w:vAlign w:val="center"/>
          </w:tcPr>
          <w:p>
            <w:pPr>
              <w:pStyle w:val="TableContents"/>
              <w:bidi w:val="0"/>
              <w:spacing w:before="0" w:after="283"/>
              <w:jc w:val="left"/>
              <w:rPr/>
            </w:pPr>
            <w:r>
              <w:rPr/>
              <w:t>3</w:t>
            </w:r>
          </w:p>
        </w:tc>
        <w:tc>
          <w:tcPr>
            <w:tcW w:w="7840" w:type="dxa"/>
            <w:tcBorders/>
            <w:vAlign w:val="center"/>
          </w:tcPr>
          <w:p>
            <w:pPr>
              <w:pStyle w:val="TableContents"/>
              <w:bidi w:val="0"/>
              <w:spacing w:before="0" w:after="283"/>
              <w:jc w:val="left"/>
              <w:rPr/>
            </w:pPr>
            <w:r>
              <w:rPr/>
              <w:t>SEC use only</w:t>
            </w:r>
          </w:p>
        </w:tc>
      </w:tr>
      <w:tr>
        <w:trPr/>
        <w:tc>
          <w:tcPr>
            <w:tcW w:w="2365" w:type="dxa"/>
            <w:tcBorders/>
            <w:vAlign w:val="center"/>
          </w:tcPr>
          <w:p>
            <w:pPr>
              <w:pStyle w:val="TableContents"/>
              <w:bidi w:val="0"/>
              <w:spacing w:before="0" w:after="283"/>
              <w:jc w:val="left"/>
              <w:rPr/>
            </w:pPr>
            <w:r>
              <w:rPr/>
              <w:t>4</w:t>
            </w:r>
          </w:p>
        </w:tc>
        <w:tc>
          <w:tcPr>
            <w:tcW w:w="784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65" w:type="dxa"/>
            <w:tcBorders/>
            <w:vAlign w:val="center"/>
          </w:tcPr>
          <w:p>
            <w:pPr>
              <w:pStyle w:val="TableContents"/>
              <w:bidi w:val="0"/>
              <w:spacing w:before="0" w:after="283"/>
              <w:jc w:val="left"/>
              <w:rPr/>
            </w:pPr>
            <w:r>
              <w:rPr/>
              <w:t>5</w:t>
            </w:r>
          </w:p>
        </w:tc>
        <w:tc>
          <w:tcPr>
            <w:tcW w:w="784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6</w:t>
            </w:r>
          </w:p>
        </w:tc>
        <w:tc>
          <w:tcPr>
            <w:tcW w:w="78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6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66,822,350.00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66,822,350.00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0"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t>11</w:t>
            </w:r>
          </w:p>
        </w:tc>
        <w:tc>
          <w:tcPr>
            <w:tcW w:w="78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66,822,350.00</w:t>
            </w:r>
          </w:p>
        </w:tc>
      </w:tr>
      <w:tr>
        <w:trPr/>
        <w:tc>
          <w:tcPr>
            <w:tcW w:w="2365" w:type="dxa"/>
            <w:tcBorders/>
            <w:vAlign w:val="center"/>
          </w:tcPr>
          <w:p>
            <w:pPr>
              <w:pStyle w:val="TableContents"/>
              <w:bidi w:val="0"/>
              <w:spacing w:before="0" w:after="283"/>
              <w:jc w:val="left"/>
              <w:rPr/>
            </w:pPr>
            <w:r>
              <w:rPr/>
              <w:t>12</w:t>
            </w:r>
          </w:p>
        </w:tc>
        <w:tc>
          <w:tcPr>
            <w:tcW w:w="784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13</w:t>
            </w:r>
          </w:p>
        </w:tc>
        <w:tc>
          <w:tcPr>
            <w:tcW w:w="784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26.5 % </w:t>
            </w:r>
          </w:p>
        </w:tc>
      </w:tr>
      <w:tr>
        <w:trPr/>
        <w:tc>
          <w:tcPr>
            <w:tcW w:w="2365" w:type="dxa"/>
            <w:tcBorders/>
            <w:vAlign w:val="center"/>
          </w:tcPr>
          <w:p>
            <w:pPr>
              <w:pStyle w:val="TableContents"/>
              <w:bidi w:val="0"/>
              <w:spacing w:before="0" w:after="283"/>
              <w:jc w:val="left"/>
              <w:rPr/>
            </w:pPr>
            <w:r>
              <w:rPr/>
              <w:t>14</w:t>
            </w:r>
          </w:p>
        </w:tc>
        <w:tc>
          <w:tcPr>
            <w:tcW w:w="78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Percentage in Row 13 calculated on the basis of 251,592,756 shares of common stock, par value $0.01, of the Issuer ("Common Stock") issued and outstanding as of July 27, 2026 (based upon information contained in the Issuer's Quarterly Report on Form 10-Q for the quarterly period ended June 30, 2026, which was filed with the U.S. Securities and Exchange Commission (the "SEC") on July 29, 2026). Rows 7, 9 and 11 reflect shares of Common Stock beneficially owned by People Incorporated ("People").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MGM RESORTS INTERNATIONAL</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3600 LAS VEGAS BLVD S, LAS VEGAS, NEVADA , 89109.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constitutes Amendment No. 9 ("Amendment No. 9") to the Schedule 13D relating to the shares of common stock, $0.01 par value (the "Shares"), of MGM Resorts International (the "Issuer"), and hereby amends the Schedule 13D filed with the SEC on August 10, 2020 (as amended by Amendment No. 1, filed with the SEC on August 20, 2020, Amendment No. 2, filed with the SEC on January 11, 2021, Amendment No. 3, filed with the SEC on February 16, 2022, Amendment No. 4, filed with the SEC on August 11, 2022, Amendment No. 5, filed with the SEC on December 9, 2025, Amendment No. 6, filed with the SEC on March 25, 2026, Amendment No. 7, filed with the SEC on April 3, 2026 and Amendment No. 8, filed with the SEC on June 1, 2026, together, the "Schedule 13D"). Except as set forth herein, the Schedule 13D as previously filed remains applicable. All capitalized terms contained herein but not otherwise defined shall have the meanings ascribed to such terms in the Schedule 13D.</w:t>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0"/>
              <w:jc w:val="left"/>
              <w:rPr/>
            </w:pPr>
            <w:r>
              <w:rPr/>
              <w:t>Item 2 is hereby amended by replacing the first, second and third paragraphs with the following: This Schedule 13D is being filed by People Incorporated (f/k/a IAC Inc.), a Delaware corporation ("People" or the "Reporting Person"). The Reporting Person's principal executive offices are located at 555 West 18th Street, New York, New York 10011. The telephone number of the Reporting Person is (212) 314-7300. The name, business address, present principal occupation or employment and citizenship of each director and executive officer of the Reporting Person is set forth on Schedule A hereto (collectively, the "Covered Persons"), attached and incorporated herein by reference. During the preceding five years, neither the Reporting Person nor, to the best knowledge of the Reporting Person, any of the Covered Persons, have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The information contained in Item 4 of the Schedule 13D is hereby amended and supplemented by adding the following information: On September 23, 2026, People announced that it has withdrawn its previously submitted non-binding proposal to acquire all of the outstanding shares of Common Stock of the Issuer that are not owned by People, as described in Amendment No. 8 to this Schedule 13D. People announced that it remains open to and interested in the possibility of a strategic transaction with the Issuer and looks forward to considering a range of alternatives. The Reporting Person intends to review its investment in the Issuer on a continuing basis. Depending on various factors including, without limitation, the Issuer's financial position and strategic direction, the price levels of the Shares, conditions in the securities markets and general economic and industry conditions, the Reporting Person may in the future take such actions with respect to its investment in the Issuer as it deems appropriate, which may include changing its investment purpose and/or, from time to time, additional acquisitions or dispositions of Shares, the exploration with the Issuer of potential strategic or business transactions relating to the businesses of the Issuer and the Reporting Person and any matter set forth in subparagraphs (a) -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0"/>
              <w:jc w:val="left"/>
              <w:rPr/>
            </w:pPr>
            <w:r>
              <w:rPr/>
              <w:t>Item 5(a) is hereby amended by replacing the first paragraph with the following: As of close of business on the date of Amendment No. 9, Reporting Person has beneficial ownership of approximately 66,822,350 Shares constituting approximately 26.5% of the Shares outstanding.</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0"/>
              <w:jc w:val="left"/>
              <w:rPr/>
            </w:pPr>
            <w:r>
              <w:rPr/>
              <w:t>See Item 5(a).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0"/>
              <w:jc w:val="left"/>
              <w:rPr/>
            </w:pPr>
            <w:r>
              <w:rPr/>
              <w:t>Item 5(c) is hereby amended and supplemented by adding the following paragraph at the end of Item 5(c): There have been no transactions by the Reporting Person in the Shares during the past 60 days prior to Amendment No. 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The information contained in Item 6 of the Schedule 13D is hereby amended and supplemented by adding the following information: The information contained in Item 4 of this Amendment No. 9 is incorporated by reference into this Item.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PEOPLE INCORPORATED</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Jennifer D. Bishop</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Jennifer D. Bishop Deputy General Counsel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tm2626052d1_ex99-a.htm"/>
      <w:bookmarkStart w:id="15" w:name="kstm2626052d1_ex99a"/>
      <w:bookmarkEnd w:id="14"/>
      <w:bookmarkEnd w:id="1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CONCERNING EXECUTIVE OFFICERS AND DIRECTORS OF PEOPLE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and Executive Officers of Reporting Person.</w:t>
      </w:r>
      <w:r>
        <w:rPr>
          <w:rFonts w:ascii="Times New Roman;Times;Serif" w:hAnsi="Times New Roman;Times;Serif"/>
          <w:b w:val="false"/>
          <w:i w:val="false"/>
          <w:caps w:val="false"/>
          <w:smallCaps w:val="false"/>
          <w:sz w:val="20"/>
        </w:rPr>
        <w:t> The following table sets forth as to each of the directors and executive officers, as applicable, of the Reporting Person: his or her name, citizenship, business address, present principal occupation or employment and the name, principal business and address of any corporation or other organization in which such employment is conducted. Unless otherwise indicated, (i) the current business address of each person is 555 West 18th Street, New York, New York 10011, and (ii) the principal employer of each such individual is People Incorporated: the business address of which is 555 West 18th Street, New York, New York 10011.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60" w:type="dxa"/>
          <w:bottom w:w="28" w:type="dxa"/>
          <w:right w:w="108" w:type="dxa"/>
        </w:tblCellMar>
      </w:tblPr>
      <w:tblGrid>
        <w:gridCol w:w="2004"/>
        <w:gridCol w:w="1062"/>
        <w:gridCol w:w="7139"/>
      </w:tblGrid>
      <w:tr>
        <w:trPr/>
        <w:tc>
          <w:tcPr>
            <w:tcW w:w="20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108"/>
              <w:jc w:val="center"/>
              <w:rPr>
                <w:rFonts w:ascii="Times New Roman;Times;Serif" w:hAnsi="Times New Roman;Times;Serif"/>
                <w:b/>
                <w:sz w:val="20"/>
              </w:rPr>
            </w:pPr>
            <w:r>
              <w:rPr>
                <w:rFonts w:ascii="Times New Roman;Times;Serif" w:hAnsi="Times New Roman;Times;Serif"/>
                <w:b/>
                <w:sz w:val="20"/>
              </w:rPr>
              <w:t>Name</w:t>
            </w:r>
          </w:p>
        </w:tc>
        <w:tc>
          <w:tcPr>
            <w:tcW w:w="1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713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08"/>
              <w:jc w:val="center"/>
              <w:rPr>
                <w:rFonts w:ascii="Times New Roman;Times;Serif" w:hAnsi="Times New Roman;Times;Serif"/>
                <w:b/>
                <w:sz w:val="20"/>
              </w:rPr>
            </w:pPr>
            <w:r>
              <w:rPr>
                <w:rFonts w:ascii="Times New Roman;Times;Serif" w:hAnsi="Times New Roman;Times;Serif"/>
                <w:b/>
                <w:sz w:val="20"/>
              </w:rPr>
              <w:t>Present Principal Occupation or Employment</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Barry Diller</w:t>
            </w:r>
            <w:r>
              <w:rPr>
                <w:sz w:val="20"/>
              </w:rPr>
              <w:br/>
              <w:t>Chairman</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Chairman and Senior Executive of People Incorporated and the Chairman and Senior Executive of Expedia Group</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Victor A. Kaufman</w:t>
            </w:r>
            <w:r>
              <w:rPr>
                <w:sz w:val="20"/>
              </w:rPr>
              <w:br/>
              <w:t>Vice Chairman</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Vice Chairman of People Incorporated</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 Braham</w:t>
            </w:r>
          </w:p>
          <w:p>
            <w:pPr>
              <w:pStyle w:val="TableContents"/>
              <w:bidi w:val="0"/>
              <w:spacing w:before="0" w:after="0"/>
              <w:ind w:left="0" w:right="0" w:hanging="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Of Counsel at King, Holmes, Paterno and Soriano</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Chelsea Clinton</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Vice Chair of The Clinton Foundation and Co-Founder and Partner of Metrodora Ventures</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Michael D. Eisner</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Chairman of The Tornante Company, LLC</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Bonnie S. Hammer</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Former Vice Chairman of NBCUniversal</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Bryan Lourd</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Partner and Managing Director of Creative Arts Agency</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David Rosenblatt</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of 1stdibs.com, Inc.</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Maria Seferian</w:t>
            </w:r>
          </w:p>
          <w:p>
            <w:pPr>
              <w:pStyle w:val="TableContents"/>
              <w:bidi w:val="0"/>
              <w:spacing w:before="0" w:after="0"/>
              <w:ind w:left="0" w:right="0" w:hanging="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President and Chief Legal Officer of Hillspire, LLC</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Alan G. Spoon</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Former General Partner and Partner Emeritus of Polaris Venture Partners</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Alexander von Furstenberg</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Founder and Chief Investment Officer of Ranger Global Advisors, LLC</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Richard F. Zannino</w:t>
            </w:r>
            <w:r>
              <w:rPr>
                <w:sz w:val="20"/>
              </w:rPr>
              <w:br/>
              <w:t>Director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Managing Director at CCMP Capital Advisors, LLC</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Neil Vogel</w:t>
            </w:r>
            <w:r>
              <w:rPr>
                <w:sz w:val="20"/>
              </w:rPr>
              <w:br/>
              <w:t>Chief Executive Officer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08"/>
              <w:jc w:val="center"/>
              <w:rPr>
                <w:rFonts w:ascii="Times New Roman;Times;Serif" w:hAnsi="Times New Roman;Times;Serif"/>
                <w:sz w:val="20"/>
              </w:rPr>
            </w:pPr>
            <w:r>
              <w:rPr>
                <w:rFonts w:ascii="Times New Roman;Times;Serif" w:hAnsi="Times New Roman;Times;Serif"/>
                <w:sz w:val="20"/>
              </w:rPr>
              <w:t>Chief Executive Officer of People Incorporated</w:t>
            </w:r>
          </w:p>
        </w:tc>
      </w:tr>
      <w:tr>
        <w:trPr/>
        <w:tc>
          <w:tcPr>
            <w:tcW w:w="20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b/>
                <w:sz w:val="20"/>
              </w:rPr>
              <w:t>Tim Quinn</w:t>
            </w:r>
            <w:r>
              <w:rPr>
                <w:sz w:val="20"/>
              </w:rPr>
              <w:br/>
              <w:t>Chief Financial Officer</w:t>
            </w:r>
          </w:p>
        </w:tc>
        <w:tc>
          <w:tcPr>
            <w:tcW w:w="1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71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of People Incorporated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1565</Words>
  <Characters>8324</Characters>
  <CharactersWithSpaces>9794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